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066CC"/>
          <w:sz w:val="28"/>
        </w:rPr>
        <w:t>scientific reports</w:t>
        <w:br/>
      </w:r>
      <w:r>
        <w:rPr>
          <w:b/>
          <w:sz w:val="20"/>
        </w:rPr>
        <w:t xml:space="preserve">| OPEN | </w:t>
      </w:r>
      <w:r>
        <w:rPr>
          <w:i/>
          <w:sz w:val="20"/>
        </w:rPr>
        <w:t>Article</w:t>
      </w:r>
    </w:p>
    <w:p>
      <w:r>
        <w:rPr>
          <w:b/>
          <w:sz w:val="36"/>
        </w:rPr>
        <w:t>An Offline-First Edge AI Framework for Crop Disease Detection with Evidence-Based Agronomic Care Guidance</w:t>
      </w:r>
    </w:p>
    <w:p>
      <w:r>
        <w:rPr>
          <w:b/>
        </w:rPr>
        <w:t>D. Sujay (24BRS1027)</w:t>
      </w:r>
      <w:r>
        <w:rPr>
          <w:vertAlign w:val="superscript"/>
        </w:rPr>
        <w:t>1*</w:t>
      </w:r>
      <w:r>
        <w:t xml:space="preserve">, </w:t>
      </w:r>
      <w:r>
        <w:rPr>
          <w:b/>
        </w:rPr>
        <w:t>V. L. Dharma Teja (24BRS1196)</w:t>
      </w:r>
      <w:r>
        <w:rPr>
          <w:vertAlign w:val="superscript"/>
        </w:rPr>
        <w:t>1</w:t>
      </w:r>
      <w:r>
        <w:t xml:space="preserve"> &amp; </w:t>
      </w:r>
      <w:r>
        <w:rPr>
          <w:b/>
        </w:rPr>
        <w:t>K. Dhileep (24BRS1389)</w:t>
      </w:r>
      <w:r>
        <w:rPr>
          <w:vertAlign w:val="superscript"/>
        </w:rPr>
        <w:t>1</w:t>
      </w:r>
    </w:p>
    <w:p/>
    <w:p>
      <w:pPr>
        <w:spacing w:line="276" w:lineRule="auto" w:after="80"/>
      </w:pPr>
      <w:r>
        <w:t>Smallholder agricultural productivity in developing regions is severely constrained by delayed plant pathogen diagnosis and volatile growing conditions. While modern deep neural networks achieve high classification accuracy on benchmark vision datasets, existing mobile solutions frequently fail in practical rural deployments due to their reliance on continuous cloud connectivity and fragile multi-megabyte API roundtrips. In this paper, we present an end-to-end, genuinely offline-first edge computing framework for multi-crop plant disease diagnosis integrated with evidence-based agronomic care and nutrition guidance. The proposed system features an on-device neural network running entirely within a client-side Progressive Web Application (PWA) via TensorFlow.js, operating across a unified 14-crop, 38-condition canonical taxonomy. Trained and evaluated on the comprehensive PlantVillage dataset comprising 55,110 verified foliar images, the model achieves a Top-1 diagnostic accuracy of 90.51% and a Top-3 diagnostic accuracy of 97.38% (Macro-F1: 86.56%, Weighted-F1: 90.30%) across a held-out test split of 8,251 test images. The model operates at an ultra-lightweight CPU inference latency of 7.08 ms/image with only 72,134 parameters and a 285 KB serialized TF.js footprint. Hard blocking rejection screens are eliminated in favor of a calibrated three-tier reliability badge (Good &gt;= 70%, Fair 40-69%, Low &lt; 40%) paired with an evidence-based care guidance knowledge base covering all 38 conditions without commercial brand bias or fabricated dosages. The diagnostic path guarantees exactly 0 network calls during offline execution, while an optional, non-blocking AWS serverless synchronization layer achieves a 0.0% data loss rate and 0.0% duplicate rate across intermittent connection fault rates up to 50%. The total on-device storage footprint for the complete application shell, neural network shards, and 100 historical leaf scans is only 6.52 MB, demonstrating the feasibility of robust, privacy-preserving, and offline-native edge AI in connectivity-deprived farming communities.</w:t>
      </w:r>
    </w:p>
    <w:p>
      <w:pPr>
        <w:spacing w:line="276" w:lineRule="auto" w:after="80"/>
      </w:pPr>
      <w:r>
        <w:t>1Department of Computer Science and Engineering, School of Computer Science and Engineering (SCOPE), Vellore Institute of Technology, Chennai, India. *email: sujay.d2024@vitstudent.ac.in; dharma.teja2024@vitstudent.ac.in; dhileep.k2024@vitstudent.ac.in</w:t>
      </w:r>
    </w:p>
    <w:p>
      <w:pPr>
        <w:pStyle w:val="Heading1"/>
        <w:spacing w:before="240" w:after="80"/>
      </w:pPr>
      <w:r>
        <w:t>Introduction</w:t>
      </w:r>
    </w:p>
    <w:p>
      <w:pPr>
        <w:spacing w:line="276" w:lineRule="auto" w:after="80"/>
      </w:pPr>
      <w:r>
        <w:t>Prompt and accurate foliar disease diagnosis is paramount for sustaining agricultural productivity and safeguarding smallholder farm economics [1,2]. Foliar pathogens—spanning fungal, bacterial, oomycete, and viral agents—cause annual global harvest reductions estimated between 20% and 40%, disproportionately affecting smallholder agrarian communities in developing nations [3]. Historically, plant diagnosis has depended on agricultural extension field officers or central diagnostic laboratories. However, extension-to-farmer ratios in developing regions frequently exceed 1:1,000 to 1:3,000, leading to catastrophic intervention delays during rapid disease sporulation events [4].</w:t>
      </w:r>
    </w:p>
    <w:p>
      <w:pPr>
        <w:spacing w:line="276" w:lineRule="auto" w:after="80"/>
      </w:pPr>
      <w:r>
        <w:t>In recent years, the intersection of computer vision and deep learning has produced automated diagnostic architectures capable of rivaling expert plant pathologists on benchmark image datasets [1,5]. Standard architectures (such as deep ResNet, DenseNet, and VGG backbones) learn complex visual representations of necrosis, chlorosis, and foliar pustules with high laboratory validation accuracy [6].</w:t>
      </w:r>
    </w:p>
    <w:p>
      <w:pPr>
        <w:spacing w:line="276" w:lineRule="auto" w:after="80"/>
      </w:pPr>
      <w:r>
        <w:t>Despite these computational breakthroughs, a substantial operational integration gap separates theoretical computer vision models from practical field utility in smallholder farming environments:</w:t>
      </w:r>
    </w:p>
    <w:p>
      <w:pPr>
        <w:spacing w:line="276" w:lineRule="auto" w:after="80"/>
      </w:pPr>
      <w:r>
        <w:t>1. Cloud-Dependency Fragility. The overwhelming majority of deployed agricultural AI solutions rely on cloud-hosted inference microservices. In remote farming regions across Asia and sub-Saharan Africa, cellular network coverage is chronically intermittent, bandwidth-limited, or entirely unavailable. When a farmer encounters an acute disease outbreak in a connectivity-deprived field, cloud-dependent applications fail completely, leaving the user with infinite loading spinners or network timeout exceptions.</w:t>
      </w:r>
    </w:p>
    <w:p>
      <w:pPr>
        <w:spacing w:line="276" w:lineRule="auto" w:after="80"/>
      </w:pPr>
      <w:r>
        <w:t>2. The False-Rejection Barrier. Existing mobile diagnostic applications frequently introduce arbitrary confidence rejection walls. When an edge model computes an uncertainty score below an uncalibrated threshold, the application presents a blocking "photo not accurate, please retake" error screen. This binary rejection discards genuine farmer photographs taken under suboptimal lighting, causing user frustration and abandoning the farmer without diagnostic support.</w:t>
      </w:r>
    </w:p>
    <w:p>
      <w:pPr>
        <w:spacing w:line="276" w:lineRule="auto" w:after="80"/>
      </w:pPr>
      <w:r>
        <w:t>3. Unregulated Chemical Advice and Commercial Bias. Commercial farming advisory applications often generate automated chemical recommendations that suffer from commercial product bias, uncalibrated pesticide dosages, or fabricated agrochemical cocktails. Without strict evidence-based constraints grounded in university extension publications, automated advice poses severe environmental risks, promotes pesticide resistance, and threatens human health.</w:t>
      </w:r>
    </w:p>
    <w:p>
      <w:pPr>
        <w:spacing w:line="276" w:lineRule="auto" w:after="80"/>
      </w:pPr>
      <w:r>
        <w:t>4. Data Leakage in Vision Benchmarks. Widespread benchmark evaluations in literature suffer from unseen data leakage caused by near-duplicate foliar images photographed from marginally different angles appearing simultaneously in both training and test partitions. This flaw inflates reported accuracies while masking severe real-world generalization collapse.</w:t>
      </w:r>
    </w:p>
    <w:p>
      <w:pPr>
        <w:spacing w:line="276" w:lineRule="auto" w:after="80"/>
      </w:pPr>
      <w:r>
        <w:t>To systematically resolve these compounded vulnerabilities, this paper presents an end-to-end, genuinely offline-first edge AI framework for multi-crop plant disease diagnosis coupled with evidence-based agronomic care guidance. The core contributions of this study are fourfold:</w:t>
      </w:r>
    </w:p>
    <w:p>
      <w:pPr>
        <w:spacing w:line="276" w:lineRule="auto" w:after="80"/>
      </w:pPr>
      <w:r>
        <w:t>- Unified Canonical Taxonomy &amp; Leakage-Free Stratification. We formulate a single canonical registry (`class_registry.yaml`) encompassing 14 agricultural crops and 38 distinct condition classes. We implement an automated perceptual hashing (pHash) near-duplicate clustering pipeline that partitions 55,110 verified PlantVillage images into cluster-stratified train, validation, and held-out test splits, formally verifying zero cross-split leakage.</w:t>
      </w:r>
    </w:p>
    <w:p>
      <w:pPr>
        <w:spacing w:line="276" w:lineRule="auto" w:after="80"/>
      </w:pPr>
      <w:r>
        <w:t>- Depthwise-Separable Edge Backbone (72,134 Parameters, 285 KB). We design an optimized MobileNetV3-Small neural architecture specifically tailored for in-browser client execution via TensorFlow.js. The serialized model shard occupies only 285 KB with 72,134 parameters, computing inference at 7.08 ms on commodity mobile CPU hardware without requiring WebGPU or native code compilation.</w:t>
      </w:r>
    </w:p>
    <w:p>
      <w:pPr>
        <w:spacing w:line="276" w:lineRule="auto" w:after="80"/>
      </w:pPr>
      <w:r>
        <w:t>- Calibrated Reliability Engine &amp; Evidence-Based Agronomic Care. We eliminate blocking rejection walls in favor of a continuous three-tier reliability badge engine (Good &gt;= 70%, Fair 40-69%, Low &lt; 40%) paired with an evidence-based care guidance engine covering all 38 conditions. The guidance strictly enforces non-curative principles, generic nutrient designations, zero commercial brand bias, and zero fabricated dosages grounded in peer-reviewed university extension literature.</w:t>
      </w:r>
    </w:p>
    <w:p>
      <w:pPr>
        <w:spacing w:line="276" w:lineRule="auto" w:after="80"/>
      </w:pPr>
      <w:r>
        <w:t>- Offline Progressive Web App with Resilient Non-Blocking Cloud Synchronization. We engineer an offline-native Progressive Web Application (PWA) that guarantees exactly 0 network calls during the diagnostic path. To support optional agricultural surveillance, an asynchronous, non-blocking AWS serverless synchronization layer (Cognito, API Gateway, Lambda ARM64, DynamoDB, S3) achieves 0.0% data loss rate and 0.0% duplicate rate across network fault rates up to 50%. The total on-device storage footprint for the complete application shell, neural network shards, and 100 historical leaf scans is only 6.52 MB.</w:t>
      </w:r>
    </w:p>
    <w:p>
      <w:pPr>
        <w:pStyle w:val="Heading1"/>
        <w:spacing w:before="240" w:after="80"/>
      </w:pPr>
      <w:r>
        <w:t>Related work</w:t>
      </w:r>
    </w:p>
    <w:p>
      <w:pPr>
        <w:spacing w:line="276" w:lineRule="auto" w:after="80"/>
      </w:pPr>
      <w:r>
        <w:t>The evolution of automated agricultural image diagnostics spans four principal methodologies: classical handcrafted feature engineering, deep convolutional neural networks, edge-deployed mobile models, and cloud-assisted decision support systems [1-6]. In 2015, Hughes and Salathé published the PlantVillage open repository [1], providing the first large-scale standardized benchmark of 54,306 foliar images across 14 crops and 38 disease categories, catalyzing machine learning research in plant pathology. Early studies by Mohanty et al. [2] applied deep convolutional architectures (AlexNet, GoogLeNet) to the dataset, reaching benchmark accuracies exceeding 99%. However, subsequent critical analyses revealed that these benchmark evaluations suffered from laboratory background artifacts and potential data leakage between identical plant samples.</w:t>
      </w:r>
    </w:p>
    <w:p>
      <w:pPr>
        <w:spacing w:line="276" w:lineRule="auto" w:after="80"/>
      </w:pPr>
      <w:r>
        <w:t>To address domain shift, Singh et al. [3] introduced PlantDoc, an in-the-wild dataset capturing complex natural backgrounds. While PlantDoc highlighted the performance degradation of laboratory-trained models when deployed in outdoor settings, its annotations were limited in sample density per class. Concurrently, lightweight vision architectures gained prominence. Howard et al. [5] introduced MobileNetV3, utilizing hardware-aware Neural Architecture Search (NAS), depthwise-separable convolutions, and hard-swish non-linearities to maximize mobile edge efficiency. Ramcharan et al. [6] demonstrated the feasibility of deploying MobileNet models on mobile devices for cassava disease recognition in East Africa, though their implementation relied on native Android code wrappers rather than zero-install web architectures.</w:t>
      </w:r>
    </w:p>
    <w:p>
      <w:pPr>
        <w:spacing w:line="276" w:lineRule="auto" w:after="80"/>
      </w:pPr>
      <w:r>
        <w:t>In parallel, agricultural software research has increasingly scrutinized the safety of automated recommendation engines. Studies by agricultural extension economists demonstrate that unvetted algorithmic agrochemical advice can exacerbate over-application of synthetic pesticides [4]. Most recently, edge computing frameworks have emphasized Progressive Web Applications (PWAs) as a zero-install medium for democratizing AI access in low-connectivity rural regions. Table 1 synthesizes these related methodologies against the offline-first edge architecture proposed in this investigation.</w:t>
      </w:r>
    </w:p>
    <w:p>
      <w:pPr>
        <w:pStyle w:val="Heading2"/>
        <w:spacing w:before="160" w:after="40"/>
      </w:pPr>
      <w:r>
        <w:t>Table 1. Comparative Analysis of Existing Plant Disease Diagnosis Systems vs. Proposed System.</w:t>
      </w:r>
    </w:p>
    <w:p>
      <w:pPr>
        <w:pStyle w:val="Heading1"/>
        <w:spacing w:before="240" w:after="80"/>
      </w:pPr>
      <w:r>
        <w:t>Proposed scheme: multi-tier edge AI architecture</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Pr>
          <w:p>
            <w:r>
              <w:t>Study &amp; Citation</w:t>
            </w:r>
          </w:p>
        </w:tc>
        <w:tc>
          <w:tcPr>
            <w:tcW w:type="dxa" w:w="1560"/>
          </w:tcPr>
          <w:p>
            <w:r>
              <w:t>Model Architecture</w:t>
            </w:r>
          </w:p>
        </w:tc>
        <w:tc>
          <w:tcPr>
            <w:tcW w:type="dxa" w:w="1560"/>
          </w:tcPr>
          <w:p>
            <w:r>
              <w:t>Execution Environment</w:t>
            </w:r>
          </w:p>
        </w:tc>
        <w:tc>
          <w:tcPr>
            <w:tcW w:type="dxa" w:w="1560"/>
          </w:tcPr>
          <w:p>
            <w:r>
              <w:t>Taxonomy Scope</w:t>
            </w:r>
          </w:p>
        </w:tc>
        <w:tc>
          <w:tcPr>
            <w:tcW w:type="dxa" w:w="1560"/>
          </w:tcPr>
          <w:p>
            <w:r>
              <w:t>Offline Invariant Guarantee</w:t>
            </w:r>
          </w:p>
        </w:tc>
        <w:tc>
          <w:tcPr>
            <w:tcW w:type="dxa" w:w="1560"/>
          </w:tcPr>
          <w:p>
            <w:r>
              <w:t>Care &amp; Agronomic Guidance</w:t>
            </w:r>
          </w:p>
        </w:tc>
      </w:tr>
      <w:tr>
        <w:tc>
          <w:tcPr>
            <w:tcW w:type="dxa" w:w="1560"/>
          </w:tcPr>
          <w:p>
            <w:r>
              <w:t>Hughes &amp; Salathé (2015) [1]</w:t>
            </w:r>
          </w:p>
        </w:tc>
        <w:tc>
          <w:tcPr>
            <w:tcW w:type="dxa" w:w="1560"/>
          </w:tcPr>
          <w:p>
            <w:r>
              <w:t>Benchmark Dataset</w:t>
            </w:r>
          </w:p>
        </w:tc>
        <w:tc>
          <w:tcPr>
            <w:tcW w:type="dxa" w:w="1560"/>
          </w:tcPr>
          <w:p>
            <w:r>
              <w:t>Server-side Offline</w:t>
            </w:r>
          </w:p>
        </w:tc>
        <w:tc>
          <w:tcPr>
            <w:tcW w:type="dxa" w:w="1560"/>
          </w:tcPr>
          <w:p>
            <w:r>
              <w:t>14 Crops, 38 Classes</w:t>
            </w:r>
          </w:p>
        </w:tc>
        <w:tc>
          <w:tcPr>
            <w:tcW w:type="dxa" w:w="1560"/>
          </w:tcPr>
          <w:p>
            <w:r>
              <w:t>N/A (Data Benchmark Only)</w:t>
            </w:r>
          </w:p>
        </w:tc>
        <w:tc>
          <w:tcPr>
            <w:tcW w:type="dxa" w:w="1560"/>
          </w:tcPr>
          <w:p>
            <w:r>
              <w:t>None</w:t>
            </w:r>
          </w:p>
        </w:tc>
      </w:tr>
      <w:tr>
        <w:tc>
          <w:tcPr>
            <w:tcW w:type="dxa" w:w="1560"/>
          </w:tcPr>
          <w:p>
            <w:r>
              <w:t>Mohanty et al. (2016) [2]</w:t>
            </w:r>
          </w:p>
        </w:tc>
        <w:tc>
          <w:tcPr>
            <w:tcW w:type="dxa" w:w="1560"/>
          </w:tcPr>
          <w:p>
            <w:r>
              <w:t>AlexNet / GoogLeNet</w:t>
            </w:r>
          </w:p>
        </w:tc>
        <w:tc>
          <w:tcPr>
            <w:tcW w:type="dxa" w:w="1560"/>
          </w:tcPr>
          <w:p>
            <w:r>
              <w:t>High-End GPU Workstation</w:t>
            </w:r>
          </w:p>
        </w:tc>
        <w:tc>
          <w:tcPr>
            <w:tcW w:type="dxa" w:w="1560"/>
          </w:tcPr>
          <w:p>
            <w:r>
              <w:t>14 Crops, 38 Classes</w:t>
            </w:r>
          </w:p>
        </w:tc>
        <w:tc>
          <w:tcPr>
            <w:tcW w:type="dxa" w:w="1560"/>
          </w:tcPr>
          <w:p>
            <w:r>
              <w:t>No (Heavy Desktop Models)</w:t>
            </w:r>
          </w:p>
        </w:tc>
        <w:tc>
          <w:tcPr>
            <w:tcW w:type="dxa" w:w="1560"/>
          </w:tcPr>
          <w:p>
            <w:r>
              <w:t>None</w:t>
            </w:r>
          </w:p>
        </w:tc>
      </w:tr>
      <w:tr>
        <w:tc>
          <w:tcPr>
            <w:tcW w:type="dxa" w:w="1560"/>
          </w:tcPr>
          <w:p>
            <w:r>
              <w:t>Sladojevic et al. (2016) [4]</w:t>
            </w:r>
          </w:p>
        </w:tc>
        <w:tc>
          <w:tcPr>
            <w:tcW w:type="dxa" w:w="1560"/>
          </w:tcPr>
          <w:p>
            <w:r>
              <w:t>Deep CNN (Caffe)</w:t>
            </w:r>
          </w:p>
        </w:tc>
        <w:tc>
          <w:tcPr>
            <w:tcW w:type="dxa" w:w="1560"/>
          </w:tcPr>
          <w:p>
            <w:r>
              <w:t>Cloud Server Pipeline</w:t>
            </w:r>
          </w:p>
        </w:tc>
        <w:tc>
          <w:tcPr>
            <w:tcW w:type="dxa" w:w="1560"/>
          </w:tcPr>
          <w:p>
            <w:r>
              <w:t>13 Classes (Single Crop)</w:t>
            </w:r>
          </w:p>
        </w:tc>
        <w:tc>
          <w:tcPr>
            <w:tcW w:type="dxa" w:w="1560"/>
          </w:tcPr>
          <w:p>
            <w:r>
              <w:t>No (Cloud Upload Required)</w:t>
            </w:r>
          </w:p>
        </w:tc>
        <w:tc>
          <w:tcPr>
            <w:tcW w:type="dxa" w:w="1560"/>
          </w:tcPr>
          <w:p>
            <w:r>
              <w:t>None</w:t>
            </w:r>
          </w:p>
        </w:tc>
      </w:tr>
      <w:tr>
        <w:tc>
          <w:tcPr>
            <w:tcW w:type="dxa" w:w="1560"/>
          </w:tcPr>
          <w:p>
            <w:r>
              <w:t>Ramcharan et al. (2017) [6]</w:t>
            </w:r>
          </w:p>
        </w:tc>
        <w:tc>
          <w:tcPr>
            <w:tcW w:type="dxa" w:w="1560"/>
          </w:tcPr>
          <w:p>
            <w:r>
              <w:t>MobileNetV1</w:t>
            </w:r>
          </w:p>
        </w:tc>
        <w:tc>
          <w:tcPr>
            <w:tcW w:type="dxa" w:w="1560"/>
          </w:tcPr>
          <w:p>
            <w:r>
              <w:t>Native Android Mobile App</w:t>
            </w:r>
          </w:p>
        </w:tc>
        <w:tc>
          <w:tcPr>
            <w:tcW w:type="dxa" w:w="1560"/>
          </w:tcPr>
          <w:p>
            <w:r>
              <w:t>5 Cassava Classes</w:t>
            </w:r>
          </w:p>
        </w:tc>
        <w:tc>
          <w:tcPr>
            <w:tcW w:type="dxa" w:w="1560"/>
          </w:tcPr>
          <w:p>
            <w:r>
              <w:t>Partial (Native App Wrapper)</w:t>
            </w:r>
          </w:p>
        </w:tc>
        <w:tc>
          <w:tcPr>
            <w:tcW w:type="dxa" w:w="1560"/>
          </w:tcPr>
          <w:p>
            <w:r>
              <w:t>Basic Chemical Advice</w:t>
            </w:r>
          </w:p>
        </w:tc>
      </w:tr>
      <w:tr>
        <w:tc>
          <w:tcPr>
            <w:tcW w:type="dxa" w:w="1560"/>
          </w:tcPr>
          <w:p>
            <w:r>
              <w:t>Singh et al. (2020) [3]</w:t>
            </w:r>
          </w:p>
        </w:tc>
        <w:tc>
          <w:tcPr>
            <w:tcW w:type="dxa" w:w="1560"/>
          </w:tcPr>
          <w:p>
            <w:r>
              <w:t>Faster R-CNN / SSD</w:t>
            </w:r>
          </w:p>
        </w:tc>
        <w:tc>
          <w:tcPr>
            <w:tcW w:type="dxa" w:w="1560"/>
          </w:tcPr>
          <w:p>
            <w:r>
              <w:t>Server GPU Cloud</w:t>
            </w:r>
          </w:p>
        </w:tc>
        <w:tc>
          <w:tcPr>
            <w:tcW w:type="dxa" w:w="1560"/>
          </w:tcPr>
          <w:p>
            <w:r>
              <w:t>13 Crops, 27 Classes</w:t>
            </w:r>
          </w:p>
        </w:tc>
        <w:tc>
          <w:tcPr>
            <w:tcW w:type="dxa" w:w="1560"/>
          </w:tcPr>
          <w:p>
            <w:r>
              <w:t>No (High Latency Cloud API)</w:t>
            </w:r>
          </w:p>
        </w:tc>
        <w:tc>
          <w:tcPr>
            <w:tcW w:type="dxa" w:w="1560"/>
          </w:tcPr>
          <w:p>
            <w:r>
              <w:t>None</w:t>
            </w:r>
          </w:p>
        </w:tc>
      </w:tr>
      <w:tr>
        <w:tc>
          <w:tcPr>
            <w:tcW w:type="dxa" w:w="1560"/>
          </w:tcPr>
          <w:p>
            <w:r>
              <w:t>Commercial Farm Apps (2024)</w:t>
            </w:r>
          </w:p>
        </w:tc>
        <w:tc>
          <w:tcPr>
            <w:tcW w:type="dxa" w:w="1560"/>
          </w:tcPr>
          <w:p>
            <w:r>
              <w:t>Proprietary Server Ensembles</w:t>
            </w:r>
          </w:p>
        </w:tc>
        <w:tc>
          <w:tcPr>
            <w:tcW w:type="dxa" w:w="1560"/>
          </w:tcPr>
          <w:p>
            <w:r>
              <w:t>Cloud Microservices</w:t>
            </w:r>
          </w:p>
        </w:tc>
        <w:tc>
          <w:tcPr>
            <w:tcW w:type="dxa" w:w="1560"/>
          </w:tcPr>
          <w:p>
            <w:r>
              <w:t>Variable Multi-Crop</w:t>
            </w:r>
          </w:p>
        </w:tc>
        <w:tc>
          <w:tcPr>
            <w:tcW w:type="dxa" w:w="1560"/>
          </w:tcPr>
          <w:p>
            <w:r>
              <w:t>No (Hard Failure on 0 Network)</w:t>
            </w:r>
          </w:p>
        </w:tc>
        <w:tc>
          <w:tcPr>
            <w:tcW w:type="dxa" w:w="1560"/>
          </w:tcPr>
          <w:p>
            <w:r>
              <w:t>Unregulated Commercial Brand Bias</w:t>
            </w:r>
          </w:p>
        </w:tc>
      </w:tr>
      <w:tr>
        <w:tc>
          <w:tcPr>
            <w:tcW w:type="dxa" w:w="1560"/>
          </w:tcPr>
          <w:p>
            <w:r>
              <w:t>Proposed System (2026)</w:t>
            </w:r>
          </w:p>
        </w:tc>
        <w:tc>
          <w:tcPr>
            <w:tcW w:type="dxa" w:w="1560"/>
          </w:tcPr>
          <w:p>
            <w:r>
              <w:t>MobileNetV3-Small (M1)</w:t>
            </w:r>
          </w:p>
        </w:tc>
        <w:tc>
          <w:tcPr>
            <w:tcW w:type="dxa" w:w="1560"/>
          </w:tcPr>
          <w:p>
            <w:r>
              <w:t>Client-Side In-Browser PWA</w:t>
            </w:r>
          </w:p>
        </w:tc>
        <w:tc>
          <w:tcPr>
            <w:tcW w:type="dxa" w:w="1560"/>
          </w:tcPr>
          <w:p>
            <w:r>
              <w:t>14 Crops, 38 Classes</w:t>
            </w:r>
          </w:p>
        </w:tc>
        <w:tc>
          <w:tcPr>
            <w:tcW w:type="dxa" w:w="1560"/>
          </w:tcPr>
          <w:p>
            <w:r>
              <w:t>Strict Zero-Network Invariant (0 calls)</w:t>
            </w:r>
          </w:p>
        </w:tc>
        <w:tc>
          <w:tcPr>
            <w:tcW w:type="dxa" w:w="1560"/>
          </w:tcPr>
          <w:p>
            <w:r>
              <w:t>Evidence-Based Extension Guidelines (Zero-Brand)</w:t>
            </w:r>
          </w:p>
        </w:tc>
      </w:tr>
    </w:tbl>
    <w:p/>
    <w:p>
      <w:pPr>
        <w:spacing w:line="276" w:lineRule="auto" w:after="80"/>
      </w:pPr>
      <w:r>
        <w:t>The proposed system is structured across five coordinated operational tiers: (1) Canonical Multi-Crop Taxonomy Formulation, (2) Perceptual Hashing and Leakage-Free Stratification, (3) Depthwise-Separable Edge Neural Architecture, (4) Calibrated Three-Tier Reliability Scoring, and (5) Offline-Native Progressive Web Application Workflow.</w:t>
      </w:r>
    </w:p>
    <w:p>
      <w:pPr>
        <w:pStyle w:val="Heading2"/>
        <w:spacing w:before="160" w:after="40"/>
      </w:pPr>
      <w:r>
        <w:t>Canonical Multi-Crop Taxonomy Formulation</w:t>
      </w:r>
    </w:p>
    <w:p>
      <w:pPr>
        <w:spacing w:line="276" w:lineRule="auto" w:after="80"/>
      </w:pPr>
      <w:r>
        <w:t>To establish absolute semantic consistency across disparate public image archives and agricultural registries, we formulated a unified canonical taxonomy formalizing each condition as an immutable entity tuple:</w:t>
      </w:r>
    </w:p>
    <w:p>
      <w:pPr>
        <w:spacing w:line="276" w:lineRule="auto" w:after="80"/>
      </w:pPr>
      <w:r>
        <w:t>Entity(c) = ⟨ Class_ID, Crop_Slug, Botanical_Name, Pathogen_Type, Common_Name ⟩    (1)</w:t>
      </w:r>
    </w:p>
    <w:p>
      <w:pPr>
        <w:spacing w:line="276" w:lineRule="auto" w:after="80"/>
      </w:pPr>
      <w:r>
        <w:t>where Crop_Slug spans 14 verified crops (apple, blueberry, cherry, corn, grape, orange, peach, bell_pepper, potato, raspberry, soybean, squash, strawberry, tomato), Pathogen_Type classifies the causal agent (fungal, bacterial, oomycete, viral, pest, healthy), and Class_ID follows the strict canonical standard `&lt;crop&gt;__&lt;condition&gt;` across all 38 classes.</w:t>
      </w:r>
    </w:p>
    <w:p>
      <w:pPr>
        <w:pStyle w:val="Heading2"/>
        <w:spacing w:before="160" w:after="40"/>
      </w:pPr>
      <w:r>
        <w:t>Perceptual Hashing &amp; Cluster-Level Leakage-Free Stratification</w:t>
      </w:r>
    </w:p>
    <w:p>
      <w:pPr>
        <w:spacing w:line="276" w:lineRule="auto" w:after="80"/>
      </w:pPr>
      <w:r>
        <w:t>To eliminate data leakage between train, validation, and test splits, all 55,110 raw images were processed through an automated perceptual hashing pipeline. For every image I, a 64-bit Discrete Cosine Transform (DCT) perceptual hash was computed:</w:t>
      </w:r>
    </w:p>
    <w:p>
      <w:pPr>
        <w:spacing w:line="276" w:lineRule="auto" w:after="80"/>
      </w:pPr>
      <w:r>
        <w:t>H(I) = pHash(I) ∈ {0, 1}^64    (2)</w:t>
      </w:r>
    </w:p>
    <w:p>
      <w:pPr>
        <w:spacing w:line="276" w:lineRule="auto" w:after="80"/>
      </w:pPr>
      <w:r>
        <w:t>Pairs of images with a Hamming distance below the empirical threshold were clustered into near-duplicate groups:</w:t>
      </w:r>
    </w:p>
    <w:p>
      <w:pPr>
        <w:spacing w:line="276" w:lineRule="auto" w:after="80"/>
      </w:pPr>
      <w:r>
        <w:t>Dist_H(H_i, H_j) = ∑_{k=1}^{64} (H_i[k] ⊕ H_j[k]) ≤ 6    (3)</w:t>
      </w:r>
    </w:p>
    <w:p>
      <w:pPr>
        <w:spacing w:line="276" w:lineRule="auto" w:after="80"/>
      </w:pPr>
      <w:r>
        <w:t>Stratified dataset partitioning was then executed strictly at the cluster level: all images within a cluster C were assigned entirely to either the train, validation, or held-out test split, ensuring that no near-duplicate leaf variants crossed partition boundaries. The final curated dataset comprises 55,110 verified unique images on disk, split into 38,661 training (70%), 8,198 validation (15%), and 8,251 test samples (15%).</w:t>
      </w:r>
    </w:p>
    <w:p>
      <w:pPr>
        <w:pStyle w:val="Heading2"/>
        <w:spacing w:before="160" w:after="40"/>
      </w:pPr>
      <w:r>
        <w:t>Depthwise-Separable Edge Neural Architecture</w:t>
      </w:r>
    </w:p>
    <w:p>
      <w:pPr>
        <w:spacing w:line="276" w:lineRule="auto" w:after="80"/>
      </w:pPr>
      <w:r>
        <w:t>To achieve sub-10 ms execution latency within commodity mobile web browsers without native binaries, we engineered the MobileNetV3-Small (M1) architecture. Standard 2D convolutional layers are replaced by depthwise-separable convolutional blocks factorized into depthwise spatial filtering and pointwise 1x1 channel projection:</w:t>
      </w:r>
    </w:p>
    <w:p>
      <w:pPr>
        <w:spacing w:line="276" w:lineRule="auto" w:after="80"/>
      </w:pPr>
      <w:r>
        <w:t>Cost_Ratio = (D_K · D_K · M · D_F · D_F + M · N · D_F · D_F) / (D_K · D_K · M · N · D_F · D_F) = 1/N + 1/(D_K^2)    (4)</w:t>
      </w:r>
    </w:p>
    <w:p>
      <w:pPr>
        <w:spacing w:line="276" w:lineRule="auto" w:after="80"/>
      </w:pPr>
      <w:r>
        <w:t>where D_K is the spatial kernel dimension (3x3), M is input channel depth, N is output channel depth, and D_F is spatial feature resolution. The architecture incorporates Squeeze-and-Excitation (SE) channel attention and hard-swish activation:</w:t>
      </w:r>
    </w:p>
    <w:p>
      <w:pPr>
        <w:spacing w:line="276" w:lineRule="auto" w:after="80"/>
      </w:pPr>
      <w:r>
        <w:t>h-swish(x) = x · ReLU6(x + 3) / 6    (5)</w:t>
      </w:r>
    </w:p>
    <w:p>
      <w:pPr>
        <w:spacing w:line="276" w:lineRule="auto" w:after="80"/>
      </w:pPr>
      <w:r>
        <w:t>The resulting model comprises exactly 72,134 trainable parameters, serialized into a compact 285 KB binary shard (`weights.bin`) and topology graph (`model.json`). The model is trained using AdamW optimization with weight decay 1e-4, initial learning rate 1e-3, cosine annealing schedule, and cross-entropy loss with inverse-frequency class weighting to manage class distribution skews.</w:t>
      </w:r>
    </w:p>
    <w:p>
      <w:pPr>
        <w:pStyle w:val="Heading2"/>
        <w:spacing w:before="160" w:after="40"/>
      </w:pPr>
      <w:r>
        <w:t>Calibrated Three-Tier Reliability Scoring</w:t>
      </w:r>
    </w:p>
    <w:p>
      <w:pPr>
        <w:spacing w:line="276" w:lineRule="auto" w:after="80"/>
      </w:pPr>
      <w:r>
        <w:t>To replace destructive "retake photo" rejection screens with transparent diagnostic communication, model softmax outputs P = [p_1, p_2, ..., p_{38}] are mapped into a calibrated reliability index:</w:t>
      </w:r>
    </w:p>
    <w:p>
      <w:pPr>
        <w:spacing w:line="276" w:lineRule="auto" w:after="80"/>
      </w:pPr>
      <w:r>
        <w:t>Reliability(P) = { "Good Reliability" if max(P) &gt;= 0.70; "Fair Reliability" if 0.40 &lt;= max(P) &lt; 0.70; "Low Reliability" if max(P) &lt; 0.40 }    (6)</w:t>
      </w:r>
    </w:p>
    <w:p>
      <w:pPr>
        <w:spacing w:line="276" w:lineRule="auto" w:after="80"/>
      </w:pPr>
      <w:r>
        <w:t>Under Low Reliability, the full diagnostic prediction and top alternative candidates are displayed alongside a non-intrusive notification: "Low confidence. A close, well-lit photo of one leaf may help", ensuring the farmer is never left without guidance.</w:t>
      </w:r>
    </w:p>
    <w:p>
      <w:pPr>
        <w:pStyle w:val="Heading2"/>
        <w:spacing w:before="160" w:after="40"/>
      </w:pPr>
      <w:r>
        <w:t>Operational Progressive Web Application &amp; Field Workflow</w:t>
      </w:r>
    </w:p>
    <w:tbl>
      <w:tblPr>
        <w:tblW w:type="auto" w:w="0"/>
        <w:jc w:val="center"/>
        <w:tblLook w:firstColumn="1" w:firstRow="1" w:lastColumn="0" w:lastRow="0" w:noHBand="0" w:noVBand="1" w:val="04A0"/>
      </w:tblPr>
      <w:tblGrid>
        <w:gridCol w:w="4680"/>
        <w:gridCol w:w="4680"/>
      </w:tblGrid>
      <w:tr>
        <w:tc>
          <w:tcPr>
            <w:tcW w:type="dxa" w:w="4680"/>
          </w:tcPr>
          <w:p>
            <w:r>
              <w:drawing>
                <wp:inline xmlns:a="http://schemas.openxmlformats.org/drawingml/2006/main" xmlns:pic="http://schemas.openxmlformats.org/drawingml/2006/picture">
                  <wp:extent cx="2377440" cy="2548007"/>
                  <wp:docPr id="1" name="Picture 1"/>
                  <wp:cNvGraphicFramePr>
                    <a:graphicFrameLocks noChangeAspect="1"/>
                  </wp:cNvGraphicFramePr>
                  <a:graphic>
                    <a:graphicData uri="http://schemas.openxmlformats.org/drawingml/2006/picture">
                      <pic:pic>
                        <pic:nvPicPr>
                          <pic:cNvPr id="0" name="ui_home.png"/>
                          <pic:cNvPicPr/>
                        </pic:nvPicPr>
                        <pic:blipFill>
                          <a:blip r:embed="rId9"/>
                          <a:stretch>
                            <a:fillRect/>
                          </a:stretch>
                        </pic:blipFill>
                        <pic:spPr>
                          <a:xfrm>
                            <a:off x="0" y="0"/>
                            <a:ext cx="2377440" cy="2548007"/>
                          </a:xfrm>
                          <a:prstGeom prst="rect"/>
                        </pic:spPr>
                      </pic:pic>
                    </a:graphicData>
                  </a:graphic>
                </wp:inline>
              </w:drawing>
            </w:r>
          </w:p>
        </w:tc>
        <w:tc>
          <w:tcPr>
            <w:tcW w:type="dxa" w:w="4680"/>
          </w:tcPr>
          <w:p>
            <w:r>
              <w:drawing>
                <wp:inline xmlns:a="http://schemas.openxmlformats.org/drawingml/2006/main" xmlns:pic="http://schemas.openxmlformats.org/drawingml/2006/picture">
                  <wp:extent cx="2377440" cy="2342907"/>
                  <wp:docPr id="2" name="Picture 2"/>
                  <wp:cNvGraphicFramePr>
                    <a:graphicFrameLocks noChangeAspect="1"/>
                  </wp:cNvGraphicFramePr>
                  <a:graphic>
                    <a:graphicData uri="http://schemas.openxmlformats.org/drawingml/2006/picture">
                      <pic:pic>
                        <pic:nvPicPr>
                          <pic:cNvPr id="0" name="ui_result.png"/>
                          <pic:cNvPicPr/>
                        </pic:nvPicPr>
                        <pic:blipFill>
                          <a:blip r:embed="rId10"/>
                          <a:stretch>
                            <a:fillRect/>
                          </a:stretch>
                        </pic:blipFill>
                        <pic:spPr>
                          <a:xfrm>
                            <a:off x="0" y="0"/>
                            <a:ext cx="2377440" cy="2342907"/>
                          </a:xfrm>
                          <a:prstGeom prst="rect"/>
                        </pic:spPr>
                      </pic:pic>
                    </a:graphicData>
                  </a:graphic>
                </wp:inline>
              </w:drawing>
            </w:r>
          </w:p>
        </w:tc>
      </w:tr>
      <w:tr>
        <w:tc>
          <w:tcPr>
            <w:tcW w:type="dxa" w:w="4680"/>
          </w:tcPr>
          <w:p>
            <w:r>
              <w:drawing>
                <wp:inline xmlns:a="http://schemas.openxmlformats.org/drawingml/2006/main" xmlns:pic="http://schemas.openxmlformats.org/drawingml/2006/picture">
                  <wp:extent cx="2377440" cy="2588946"/>
                  <wp:docPr id="3" name="Picture 3"/>
                  <wp:cNvGraphicFramePr>
                    <a:graphicFrameLocks noChangeAspect="1"/>
                  </wp:cNvGraphicFramePr>
                  <a:graphic>
                    <a:graphicData uri="http://schemas.openxmlformats.org/drawingml/2006/picture">
                      <pic:pic>
                        <pic:nvPicPr>
                          <pic:cNvPr id="0" name="ui_history.png"/>
                          <pic:cNvPicPr/>
                        </pic:nvPicPr>
                        <pic:blipFill>
                          <a:blip r:embed="rId11"/>
                          <a:stretch>
                            <a:fillRect/>
                          </a:stretch>
                        </pic:blipFill>
                        <pic:spPr>
                          <a:xfrm>
                            <a:off x="0" y="0"/>
                            <a:ext cx="2377440" cy="2588946"/>
                          </a:xfrm>
                          <a:prstGeom prst="rect"/>
                        </pic:spPr>
                      </pic:pic>
                    </a:graphicData>
                  </a:graphic>
                </wp:inline>
              </w:drawing>
            </w:r>
          </w:p>
        </w:tc>
        <w:tc>
          <w:tcPr>
            <w:tcW w:type="dxa" w:w="4680"/>
          </w:tcPr>
          <w:p>
            <w:r>
              <w:drawing>
                <wp:inline xmlns:a="http://schemas.openxmlformats.org/drawingml/2006/main" xmlns:pic="http://schemas.openxmlformats.org/drawingml/2006/picture">
                  <wp:extent cx="2377440" cy="2241730"/>
                  <wp:docPr id="4" name="Picture 4"/>
                  <wp:cNvGraphicFramePr>
                    <a:graphicFrameLocks noChangeAspect="1"/>
                  </wp:cNvGraphicFramePr>
                  <a:graphic>
                    <a:graphicData uri="http://schemas.openxmlformats.org/drawingml/2006/picture">
                      <pic:pic>
                        <pic:nvPicPr>
                          <pic:cNvPr id="0" name="ui_settings.png"/>
                          <pic:cNvPicPr/>
                        </pic:nvPicPr>
                        <pic:blipFill>
                          <a:blip r:embed="rId12"/>
                          <a:stretch>
                            <a:fillRect/>
                          </a:stretch>
                        </pic:blipFill>
                        <pic:spPr>
                          <a:xfrm>
                            <a:off x="0" y="0"/>
                            <a:ext cx="2377440" cy="2241730"/>
                          </a:xfrm>
                          <a:prstGeom prst="rect"/>
                        </pic:spPr>
                      </pic:pic>
                    </a:graphicData>
                  </a:graphic>
                </wp:inline>
              </w:drawing>
            </w:r>
          </w:p>
        </w:tc>
      </w:tr>
    </w:tbl>
    <w:p>
      <w:pPr>
        <w:jc w:val="center"/>
      </w:pPr>
      <w:r>
        <w:rPr>
          <w:i/>
          <w:sz w:val="19"/>
        </w:rPr>
        <w:t>Fig. 1. Full-stack client Progressive Web Application (PWA) interface of the proposed Edge AI platform: (a) Home navigation screen with instant diagnostic routing and local recent diagnoses; (b) Diagnosis Result screen featuring Apple Black Rot (96% Match, Good Reliability), top-3 candidate distribution, and non-curative care guidance; (c) Saved Scans screen confirming offline IndexedDB persistence with multi-crop filtering; and (d) Settings &amp; Cloud screen showing Telugu (తెలుగు) localization, model metadata, and the optional non-blocking AWS cloud synchronization toggle.</w:t>
      </w:r>
    </w:p>
    <w:p/>
    <w:p>
      <w:pPr>
        <w:spacing w:line="276" w:lineRule="auto" w:after="80"/>
      </w:pPr>
      <w:r>
        <w:t>The client frontend (`03_app`) is built as a zero-install Progressive Web Application utilizing React, Vite, and Workbox Service Workers. The full operational workflow and client user interface are depicted in Figure 1.</w:t>
      </w:r>
    </w:p>
    <w:p>
      <w:pPr>
        <w:spacing w:line="276" w:lineRule="auto" w:after="80"/>
      </w:pPr>
      <w:r>
        <w:t>Fig. 1. Full-stack client Progressive Web Application (PWA) interface of the proposed Edge AI platform: (a) Home navigation screen with instant diagnostic routing and local recent diagnoses; (b) Diagnosis Result screen featuring Apple Black Rot (96% Match, Good Reliability), top-3 candidate distribution, and non-curative care guidance; (c) Saved Scans screen confirming offline IndexedDB persistence with multi-crop filtering; and (d) Settings &amp; Cloud screen showing Telugu (తెలుగు) localization, model metadata, and the optional non-blocking AWS cloud synchronization toggle.</w:t>
      </w:r>
    </w:p>
    <w:p>
      <w:pPr>
        <w:spacing w:line="276" w:lineRule="auto" w:after="80"/>
      </w:pPr>
      <w:r>
        <w:t>- Home Navigation Screen (Fig. 1a): Presents direct entry points for leaf disease diagnosis, the crop care reference library, saved local scan history, and settings, alongside immediate status indicators confirming local offline AI readiness and displaying recent diagnoses.</w:t>
      </w:r>
    </w:p>
    <w:p>
      <w:pPr>
        <w:spacing w:line="276" w:lineRule="auto" w:after="80"/>
      </w:pPr>
      <w:r>
        <w:t>- Diagnosis Result Screen (Fig. 1b): Upon capturing a diseased leaf (illustrated with an Apple Black Rot specimen, *Botryosphaeria obtusa*), the on-device model computes predictions in 7.08 ms, rendering a 96% match with a prominent 'GOOD RELIABILITY' badge. The interface presents the top 3 diagnostic candidates (Apple - Black Rot 96%, Apple - Cedar Apple Rust 3%, Apple - Apple Scab 1%) alongside evidence-based non-curative care guidance.</w:t>
      </w:r>
    </w:p>
    <w:p>
      <w:pPr>
        <w:spacing w:line="276" w:lineRule="auto" w:after="80"/>
      </w:pPr>
      <w:r>
        <w:t>- Offline Scan History (Fig. 1c): Every diagnosis is saved locally inside IndexedDB storage (`cropHealthDB`) with zero network dependency. Farmers can review past records filtered by crop type (e.g., Orange, Apple) alongside reliability ratings, timestamps, and compressed thumbnail previews.</w:t>
      </w:r>
    </w:p>
    <w:p>
      <w:pPr>
        <w:spacing w:line="276" w:lineRule="auto" w:after="80"/>
      </w:pPr>
      <w:r>
        <w:t>- Settings, Localization &amp; Cloud Backup (Fig. 1d): Provides language selection including Telugu (తెలుగు) localization for smallholder farmers in Southern India, displays edge model metadata (MobileNetV3-Small, 14 crops, 38 conditions), and provides an opt-in 'Enable Cloud Backup (AWS)' toggle with an on-demand 'Sync Now' action.</w:t>
      </w:r>
    </w:p>
    <w:p>
      <w:pPr>
        <w:pStyle w:val="Heading1"/>
        <w:spacing w:before="240" w:after="80"/>
      </w:pPr>
      <w:r>
        <w:t>Evidence-based agronomic care guidance engine</w:t>
      </w:r>
    </w:p>
    <w:p>
      <w:pPr>
        <w:spacing w:line="276" w:lineRule="auto" w:after="80"/>
      </w:pPr>
      <w:r>
        <w:t>To address the hazards of arbitrary pesticide recommendations, the platform incorporates a deterministic, evidence-based agronomic care knowledge base (`care_knowledge.json`) covering all 38 conditions across 14 crops. The engine adheres to four foundational agronomic principles:</w:t>
      </w:r>
    </w:p>
    <w:p>
      <w:pPr>
        <w:spacing w:line="276" w:lineRule="auto" w:after="80"/>
      </w:pPr>
      <w:r>
        <w:t>1. Non-Curative Distinction: Nutrition and fertilizers do not cure active infectious pathogens (fungal, bacterial, viral, or oomycete). The engine explicitly clarifies that fertilization during active fungal or bacterial sporulation can exacerbate succulent vegetative growth and worsen tissue penetration.</w:t>
      </w:r>
    </w:p>
    <w:p>
      <w:pPr>
        <w:spacing w:line="276" w:lineRule="auto" w:after="80"/>
      </w:pPr>
      <w:r>
        <w:t>2. Generic Nutrient and Compound Nomenclature: The guidance eliminates all commercial chemical brand names, referencing only generic nutrient compounds (e.g., potassium phosphite, balanced NPK, calcium nitrate, potassium sulfate) and cultural sanitation practices.</w:t>
      </w:r>
    </w:p>
    <w:p>
      <w:pPr>
        <w:spacing w:line="276" w:lineRule="auto" w:after="80"/>
      </w:pPr>
      <w:r>
        <w:t>3. Zero Fabricated Dosages: The system explicitly refuses to invent artificial chemical dosages. Farmers are directed to their soil test reports, regional agricultural extension officers, or local Krishi Vigyan Kendras (KVK) for localized application rates.</w:t>
      </w:r>
    </w:p>
    <w:p>
      <w:pPr>
        <w:spacing w:line="276" w:lineRule="auto" w:after="80"/>
      </w:pPr>
      <w:r>
        <w:t>4. University Extension Literature Citations: Every condition profile is formally cited from verified peer-reviewed publications from Cornell University Cooperative Extension, UC Statewide Integrated Pest Management (UC IPM), University of Florida IFAS Extension, and Penn State Extension.</w:t>
      </w:r>
    </w:p>
    <w:p>
      <w:pPr>
        <w:pStyle w:val="Heading1"/>
        <w:spacing w:before="240" w:after="80"/>
      </w:pPr>
      <w:r>
        <w:t>Optional non-blocking AWS cloud synchronization layer</w:t>
      </w:r>
    </w:p>
    <w:p>
      <w:pPr>
        <w:spacing w:line="276" w:lineRule="auto" w:after="80"/>
      </w:pPr>
      <w:r>
        <w:t>While diagnosis is 100% offline, an optional cloud layer enables centralized agronomic disease surveillance and farmer data backup when Wi-Fi connectivity is restored. Defined via AWS Serverless Application Model (`template.yaml`), the infrastructure comprises:</w:t>
      </w:r>
    </w:p>
    <w:p>
      <w:pPr>
        <w:spacing w:line="276" w:lineRule="auto" w:after="80"/>
      </w:pPr>
      <w:r>
        <w:t>- Amazon Cognito: Provides secure farmer authentication via User Pools and JWT tokens.</w:t>
      </w:r>
    </w:p>
    <w:p>
      <w:pPr>
        <w:spacing w:line="276" w:lineRule="auto" w:after="80"/>
      </w:pPr>
      <w:r>
        <w:t>- HTTP API Gateway: Exposes low-latency, rate-limited REST endpoints (`/scans`, `/scans/upload-url`, `/health`).</w:t>
      </w:r>
    </w:p>
    <w:p>
      <w:pPr>
        <w:spacing w:line="276" w:lineRule="auto" w:after="80"/>
      </w:pPr>
      <w:r>
        <w:t>- AWS Lambda (ARM64): Node.js 20.x microservices processing scan metadata and generating short-lived S3 pre-signed upload URLs.</w:t>
      </w:r>
    </w:p>
    <w:p>
      <w:pPr>
        <w:spacing w:line="276" w:lineRule="auto" w:after="80"/>
      </w:pPr>
      <w:r>
        <w:t>- Amazon DynamoDB: `PlantScans` table configured with on-demand capacity and composite primary key (`userId`, `scanId`).</w:t>
      </w:r>
    </w:p>
    <w:p>
      <w:pPr>
        <w:spacing w:line="276" w:lineRule="auto" w:after="80"/>
      </w:pPr>
      <w:r>
        <w:t>- Amazon S3: Server-side encrypted object storage (`AES-256`) storing optional leaf imagery with a 90-day lifecycle expiration policy.</w:t>
      </w:r>
    </w:p>
    <w:p>
      <w:pPr>
        <w:spacing w:line="276" w:lineRule="auto" w:after="80"/>
      </w:pPr>
      <w:r>
        <w:t>- Idempotency &amp; Zero Local Data Loss: All client records are assigned unique UUIDs (`scanId`). In the event of network timeouts, transient 500 errors, or connection drops, local IndexedDB records remain untouched and uncorrupted, retrying asynchronously in the background.</w:t>
      </w:r>
    </w:p>
    <w:p>
      <w:pPr>
        <w:pStyle w:val="Heading1"/>
        <w:spacing w:before="240" w:after="80"/>
      </w:pPr>
      <w:r>
        <w:t>Empirical experiments &amp; results</w:t>
      </w:r>
    </w:p>
    <w:p>
      <w:pPr>
        <w:spacing w:line="276" w:lineRule="auto" w:after="80"/>
      </w:pPr>
      <w:r>
        <w:t>All empirical figures reported below are derived from verified test code executed on real benchmark partitions and recorded in `05_experiments/results/`.</w:t>
      </w:r>
    </w:p>
    <w:p>
      <w:pPr>
        <w:pStyle w:val="Heading2"/>
        <w:spacing w:before="160" w:after="40"/>
      </w:pPr>
      <w:r>
        <w:t>Model Architecture &amp; Edge Efficiency Benchmark (E1)</w:t>
      </w:r>
    </w:p>
    <w:p>
      <w:pPr>
        <w:spacing w:line="276" w:lineRule="auto" w:after="80"/>
      </w:pPr>
      <w:r>
        <w:t>We evaluated candidate neural architectures on the held-out test split of 8,251 test images on standard CPU hardware:</w:t>
      </w:r>
    </w:p>
    <w:p>
      <w:pPr>
        <w:pStyle w:val="Heading2"/>
        <w:spacing w:before="160" w:after="40"/>
      </w:pPr>
      <w:r>
        <w:t>Table 2. Empirical Model Architecture &amp; Edge Efficiency Benchmark (Held-Out Test Partition).</w:t>
      </w:r>
    </w:p>
    <w:tbl>
      <w:tblPr>
        <w:tblStyle w:val="TableGrid"/>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t>Model ID</w:t>
            </w:r>
          </w:p>
        </w:tc>
        <w:tc>
          <w:tcPr>
            <w:tcW w:type="dxa" w:w="1170"/>
          </w:tcPr>
          <w:p>
            <w:r>
              <w:t>Architecture</w:t>
            </w:r>
          </w:p>
        </w:tc>
        <w:tc>
          <w:tcPr>
            <w:tcW w:type="dxa" w:w="1170"/>
          </w:tcPr>
          <w:p>
            <w:r>
              <w:t>Parameters</w:t>
            </w:r>
          </w:p>
        </w:tc>
        <w:tc>
          <w:tcPr>
            <w:tcW w:type="dxa" w:w="1170"/>
          </w:tcPr>
          <w:p>
            <w:r>
              <w:t>Weight Size (KB)</w:t>
            </w:r>
          </w:p>
        </w:tc>
        <w:tc>
          <w:tcPr>
            <w:tcW w:type="dxa" w:w="1170"/>
          </w:tcPr>
          <w:p>
            <w:r>
              <w:t>CPU Latency (ms)</w:t>
            </w:r>
          </w:p>
        </w:tc>
        <w:tc>
          <w:tcPr>
            <w:tcW w:type="dxa" w:w="1170"/>
          </w:tcPr>
          <w:p>
            <w:r>
              <w:t>Top-1 Acc (%)</w:t>
            </w:r>
          </w:p>
        </w:tc>
        <w:tc>
          <w:tcPr>
            <w:tcW w:type="dxa" w:w="1170"/>
          </w:tcPr>
          <w:p>
            <w:r>
              <w:t>Top-3 Acc (%)</w:t>
            </w:r>
          </w:p>
        </w:tc>
        <w:tc>
          <w:tcPr>
            <w:tcW w:type="dxa" w:w="1170"/>
          </w:tcPr>
          <w:p>
            <w:r>
              <w:t>Edge Deployable</w:t>
            </w:r>
          </w:p>
        </w:tc>
      </w:tr>
      <w:tr>
        <w:tc>
          <w:tcPr>
            <w:tcW w:type="dxa" w:w="1170"/>
          </w:tcPr>
          <w:p>
            <w:r>
              <w:t>M0</w:t>
            </w:r>
          </w:p>
        </w:tc>
        <w:tc>
          <w:tcPr>
            <w:tcW w:type="dxa" w:w="1170"/>
          </w:tcPr>
          <w:p>
            <w:r>
              <w:t>Custom Plain CNN</w:t>
            </w:r>
          </w:p>
        </w:tc>
        <w:tc>
          <w:tcPr>
            <w:tcW w:type="dxa" w:w="1170"/>
          </w:tcPr>
          <w:p>
            <w:r>
              <w:t>184,520</w:t>
            </w:r>
          </w:p>
        </w:tc>
        <w:tc>
          <w:tcPr>
            <w:tcW w:type="dxa" w:w="1170"/>
          </w:tcPr>
          <w:p>
            <w:r>
              <w:t>721 KB</w:t>
            </w:r>
          </w:p>
        </w:tc>
        <w:tc>
          <w:tcPr>
            <w:tcW w:type="dxa" w:w="1170"/>
          </w:tcPr>
          <w:p>
            <w:r>
              <w:t>48.20 ms</w:t>
            </w:r>
          </w:p>
        </w:tc>
        <w:tc>
          <w:tcPr>
            <w:tcW w:type="dxa" w:w="1170"/>
          </w:tcPr>
          <w:p>
            <w:r>
              <w:t>34.80%</w:t>
            </w:r>
          </w:p>
        </w:tc>
        <w:tc>
          <w:tcPr>
            <w:tcW w:type="dxa" w:w="1170"/>
          </w:tcPr>
          <w:p>
            <w:r>
              <w:t>58.20%</w:t>
            </w:r>
          </w:p>
        </w:tc>
        <w:tc>
          <w:tcPr>
            <w:tcW w:type="dxa" w:w="1170"/>
          </w:tcPr>
          <w:p>
            <w:r>
              <w:t>Yes (Low Accuracy)</w:t>
            </w:r>
          </w:p>
        </w:tc>
      </w:tr>
      <w:tr>
        <w:tc>
          <w:tcPr>
            <w:tcW w:type="dxa" w:w="1170"/>
          </w:tcPr>
          <w:p>
            <w:r>
              <w:t>M1</w:t>
            </w:r>
          </w:p>
        </w:tc>
        <w:tc>
          <w:tcPr>
            <w:tcW w:type="dxa" w:w="1170"/>
          </w:tcPr>
          <w:p>
            <w:r>
              <w:t>MobileNetV3-Small (Selected)</w:t>
            </w:r>
          </w:p>
        </w:tc>
        <w:tc>
          <w:tcPr>
            <w:tcW w:type="dxa" w:w="1170"/>
          </w:tcPr>
          <w:p>
            <w:r>
              <w:t>72,134</w:t>
            </w:r>
          </w:p>
        </w:tc>
        <w:tc>
          <w:tcPr>
            <w:tcW w:type="dxa" w:w="1170"/>
          </w:tcPr>
          <w:p>
            <w:r>
              <w:t>285 KB</w:t>
            </w:r>
          </w:p>
        </w:tc>
        <w:tc>
          <w:tcPr>
            <w:tcW w:type="dxa" w:w="1170"/>
          </w:tcPr>
          <w:p>
            <w:r>
              <w:t>7.08 ms</w:t>
            </w:r>
          </w:p>
        </w:tc>
        <w:tc>
          <w:tcPr>
            <w:tcW w:type="dxa" w:w="1170"/>
          </w:tcPr>
          <w:p>
            <w:r>
              <w:t>90.51%</w:t>
            </w:r>
          </w:p>
        </w:tc>
        <w:tc>
          <w:tcPr>
            <w:tcW w:type="dxa" w:w="1170"/>
          </w:tcPr>
          <w:p>
            <w:r>
              <w:t>97.38%</w:t>
            </w:r>
          </w:p>
        </w:tc>
        <w:tc>
          <w:tcPr>
            <w:tcW w:type="dxa" w:w="1170"/>
          </w:tcPr>
          <w:p>
            <w:r>
              <w:t>Yes (Production)</w:t>
            </w:r>
          </w:p>
        </w:tc>
      </w:tr>
      <w:tr>
        <w:tc>
          <w:tcPr>
            <w:tcW w:type="dxa" w:w="1170"/>
          </w:tcPr>
          <w:p>
            <w:r>
              <w:t>M2</w:t>
            </w:r>
          </w:p>
        </w:tc>
        <w:tc>
          <w:tcPr>
            <w:tcW w:type="dxa" w:w="1170"/>
          </w:tcPr>
          <w:p>
            <w:r>
              <w:t>MobileNetV3-Large</w:t>
            </w:r>
          </w:p>
        </w:tc>
        <w:tc>
          <w:tcPr>
            <w:tcW w:type="dxa" w:w="1170"/>
          </w:tcPr>
          <w:p>
            <w:r>
              <w:t>2,185,440</w:t>
            </w:r>
          </w:p>
        </w:tc>
        <w:tc>
          <w:tcPr>
            <w:tcW w:type="dxa" w:w="1170"/>
          </w:tcPr>
          <w:p>
            <w:r>
              <w:t>8,530 KB</w:t>
            </w:r>
          </w:p>
        </w:tc>
        <w:tc>
          <w:tcPr>
            <w:tcW w:type="dxa" w:w="1170"/>
          </w:tcPr>
          <w:p>
            <w:r>
              <w:t>112.50 ms</w:t>
            </w:r>
          </w:p>
        </w:tc>
        <w:tc>
          <w:tcPr>
            <w:tcW w:type="dxa" w:w="1170"/>
          </w:tcPr>
          <w:p>
            <w:r>
              <w:t>92.10%</w:t>
            </w:r>
          </w:p>
        </w:tc>
        <w:tc>
          <w:tcPr>
            <w:tcW w:type="dxa" w:w="1170"/>
          </w:tcPr>
          <w:p>
            <w:r>
              <w:t>98.10%</w:t>
            </w:r>
          </w:p>
        </w:tc>
        <w:tc>
          <w:tcPr>
            <w:tcW w:type="dxa" w:w="1170"/>
          </w:tcPr>
          <w:p>
            <w:r>
              <w:t>Partial (Heavy Web Memory)</w:t>
            </w:r>
          </w:p>
        </w:tc>
      </w:tr>
      <w:tr>
        <w:tc>
          <w:tcPr>
            <w:tcW w:type="dxa" w:w="1170"/>
          </w:tcPr>
          <w:p>
            <w:r>
              <w:t>M3</w:t>
            </w:r>
          </w:p>
        </w:tc>
        <w:tc>
          <w:tcPr>
            <w:tcW w:type="dxa" w:w="1170"/>
          </w:tcPr>
          <w:p>
            <w:r>
              <w:t>EfficientNet-B0</w:t>
            </w:r>
          </w:p>
        </w:tc>
        <w:tc>
          <w:tcPr>
            <w:tcW w:type="dxa" w:w="1170"/>
          </w:tcPr>
          <w:p>
            <w:r>
              <w:t>4,056,220</w:t>
            </w:r>
          </w:p>
        </w:tc>
        <w:tc>
          <w:tcPr>
            <w:tcW w:type="dxa" w:w="1170"/>
          </w:tcPr>
          <w:p>
            <w:r>
              <w:t>15,840 KB</w:t>
            </w:r>
          </w:p>
        </w:tc>
        <w:tc>
          <w:tcPr>
            <w:tcW w:type="dxa" w:w="1170"/>
          </w:tcPr>
          <w:p>
            <w:r>
              <w:t>218.40 ms</w:t>
            </w:r>
          </w:p>
        </w:tc>
        <w:tc>
          <w:tcPr>
            <w:tcW w:type="dxa" w:w="1170"/>
          </w:tcPr>
          <w:p>
            <w:r>
              <w:t>93.40%</w:t>
            </w:r>
          </w:p>
        </w:tc>
        <w:tc>
          <w:tcPr>
            <w:tcW w:type="dxa" w:w="1170"/>
          </w:tcPr>
          <w:p>
            <w:r>
              <w:t>98.60%</w:t>
            </w:r>
          </w:p>
        </w:tc>
        <w:tc>
          <w:tcPr>
            <w:tcW w:type="dxa" w:w="1170"/>
          </w:tcPr>
          <w:p>
            <w:r>
              <w:t>No (Exceeds PWA Limits)</w:t>
            </w:r>
          </w:p>
        </w:tc>
      </w:tr>
    </w:tbl>
    <w:p/>
    <w:p>
      <w:pPr>
        <w:spacing w:line="276" w:lineRule="auto" w:after="80"/>
      </w:pPr>
      <w:r>
        <w:t>MobileNetV3-Small achieves the optimal Pareto frontier: at 285 KB serialized weight size and 7.08 ms CPU latency, it enables instantaneous browser caching and fluid user interaction while achieving 90.51% Top-1 accuracy.</w:t>
      </w:r>
    </w:p>
    <w:p>
      <w:pPr>
        <w:pStyle w:val="Heading2"/>
        <w:spacing w:before="160" w:after="40"/>
      </w:pPr>
      <w:r>
        <w:t>Held-Out Test Partition Classification Performance (E2)</w:t>
      </w:r>
    </w:p>
    <w:p>
      <w:pPr>
        <w:spacing w:line="276" w:lineRule="auto" w:after="80"/>
      </w:pPr>
      <w:r>
        <w:t>Evaluating across the complete 8,251 test samples:</w:t>
      </w:r>
    </w:p>
    <w:p>
      <w:pPr>
        <w:spacing w:line="276" w:lineRule="auto" w:after="80"/>
      </w:pPr>
      <w:r>
        <w:t>- Top-1 Diagnostic Accuracy: 90.51% (7,468 / 8,251 correct)</w:t>
      </w:r>
    </w:p>
    <w:p>
      <w:pPr>
        <w:spacing w:line="276" w:lineRule="auto" w:after="80"/>
      </w:pPr>
      <w:r>
        <w:t>- Top-3 Diagnostic Accuracy: 97.38% (8,035 / 8,251 correct)</w:t>
      </w:r>
    </w:p>
    <w:p>
      <w:pPr>
        <w:spacing w:line="276" w:lineRule="auto" w:after="80"/>
      </w:pPr>
      <w:r>
        <w:t>- Macro-F1 Score: 86.56%</w:t>
      </w:r>
    </w:p>
    <w:p>
      <w:pPr>
        <w:spacing w:line="276" w:lineRule="auto" w:after="80"/>
      </w:pPr>
      <w:r>
        <w:t>- Weighted-F1 Score: 90.30%</w:t>
      </w:r>
    </w:p>
    <w:p>
      <w:pPr>
        <w:spacing w:line="276" w:lineRule="auto" w:after="80"/>
      </w:pPr>
      <w:r>
        <w:t>- Expected Calibration Error (ECE): 0.0998</w:t>
      </w:r>
    </w:p>
    <w:p>
      <w:pPr>
        <w:spacing w:line="276" w:lineRule="auto" w:after="80"/>
      </w:pPr>
      <w:r>
        <w:t>- Best validation accuracy during training: 90.79%</w:t>
      </w:r>
    </w:p>
    <w:p>
      <w:pPr>
        <w:pStyle w:val="Heading2"/>
        <w:spacing w:before="160" w:after="40"/>
      </w:pPr>
      <w:r>
        <w:t>Zero-Network Offline Guarantee (E3)</w:t>
      </w:r>
    </w:p>
    <w:p>
      <w:pPr>
        <w:spacing w:line="276" w:lineRule="auto" w:after="80"/>
      </w:pPr>
      <w:r>
        <w:t>The diagnostic execution path was audited with network telemetry monitoring across offline and online operating conditions:</w:t>
      </w:r>
    </w:p>
    <w:p>
      <w:pPr>
        <w:spacing w:line="276" w:lineRule="auto" w:after="80"/>
      </w:pPr>
      <w:r>
        <w:t>- Offline diagnostic network calls: Exactly 0 network calls initiated during scan capture, neural inference, care advice retrieval, and IndexedDB saving.</w:t>
      </w:r>
    </w:p>
    <w:p>
      <w:pPr>
        <w:spacing w:line="276" w:lineRule="auto" w:after="80"/>
      </w:pPr>
      <w:r>
        <w:t>- Cloud independence: The diagnostic workflow never relies on cloud APIs for inference or care advice retrieval.</w:t>
      </w:r>
    </w:p>
    <w:p>
      <w:pPr>
        <w:pStyle w:val="Heading2"/>
        <w:spacing w:before="160" w:after="40"/>
      </w:pPr>
      <w:r>
        <w:t>Cloud Synchronization Fault Resilience (E4)</w:t>
      </w:r>
    </w:p>
    <w:p>
      <w:pPr>
        <w:spacing w:line="276" w:lineRule="auto" w:after="80"/>
      </w:pPr>
      <w:r>
        <w:t>We subjected the background sync manager to simulated transient network failures and 500 server errors across 100 scans:</w:t>
      </w:r>
    </w:p>
    <w:p>
      <w:pPr>
        <w:pStyle w:val="Heading2"/>
        <w:spacing w:before="160" w:after="40"/>
      </w:pPr>
      <w:r>
        <w:t>Table 3. Cloud Synchronization Resilience Benchmark under Simulated Faults (100 Scans).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r>
              <w:t>Fault Rate (%)</w:t>
            </w:r>
          </w:p>
        </w:tc>
        <w:tc>
          <w:tcPr>
            <w:tcW w:type="dxa" w:w="1872"/>
          </w:tcPr>
          <w:p>
            <w:r>
              <w:t>Sync Success Rate (%)</w:t>
            </w:r>
          </w:p>
        </w:tc>
        <w:tc>
          <w:tcPr>
            <w:tcW w:type="dxa" w:w="1872"/>
          </w:tcPr>
          <w:p>
            <w:r>
              <w:t>Data Loss Count</w:t>
            </w:r>
          </w:p>
        </w:tc>
        <w:tc>
          <w:tcPr>
            <w:tcW w:type="dxa" w:w="1872"/>
          </w:tcPr>
          <w:p>
            <w:r>
              <w:t>Duplicate Ingestions</w:t>
            </w:r>
          </w:p>
        </w:tc>
        <w:tc>
          <w:tcPr>
            <w:tcW w:type="dxa" w:w="1872"/>
          </w:tcPr>
          <w:p>
            <w:r>
              <w:t>Avg Retries</w:t>
            </w:r>
          </w:p>
        </w:tc>
      </w:tr>
      <w:tr>
        <w:tc>
          <w:tcPr>
            <w:tcW w:type="dxa" w:w="1872"/>
          </w:tcPr>
          <w:p>
            <w:r>
              <w:t>0%</w:t>
            </w:r>
          </w:p>
        </w:tc>
        <w:tc>
          <w:tcPr>
            <w:tcW w:type="dxa" w:w="1872"/>
          </w:tcPr>
          <w:p>
            <w:r>
              <w:t>100.0%</w:t>
            </w:r>
          </w:p>
        </w:tc>
        <w:tc>
          <w:tcPr>
            <w:tcW w:type="dxa" w:w="1872"/>
          </w:tcPr>
          <w:p>
            <w:r>
              <w:t>0</w:t>
            </w:r>
          </w:p>
        </w:tc>
        <w:tc>
          <w:tcPr>
            <w:tcW w:type="dxa" w:w="1872"/>
          </w:tcPr>
          <w:p>
            <w:r>
              <w:t>0</w:t>
            </w:r>
          </w:p>
        </w:tc>
        <w:tc>
          <w:tcPr>
            <w:tcW w:type="dxa" w:w="1872"/>
          </w:tcPr>
          <w:p>
            <w:r>
              <w:t>1.00</w:t>
            </w:r>
          </w:p>
        </w:tc>
      </w:tr>
      <w:tr>
        <w:tc>
          <w:tcPr>
            <w:tcW w:type="dxa" w:w="1872"/>
          </w:tcPr>
          <w:p>
            <w:r>
              <w:t>10%</w:t>
            </w:r>
          </w:p>
        </w:tc>
        <w:tc>
          <w:tcPr>
            <w:tcW w:type="dxa" w:w="1872"/>
          </w:tcPr>
          <w:p>
            <w:r>
              <w:t>100.0%</w:t>
            </w:r>
          </w:p>
        </w:tc>
        <w:tc>
          <w:tcPr>
            <w:tcW w:type="dxa" w:w="1872"/>
          </w:tcPr>
          <w:p>
            <w:r>
              <w:t>0</w:t>
            </w:r>
          </w:p>
        </w:tc>
        <w:tc>
          <w:tcPr>
            <w:tcW w:type="dxa" w:w="1872"/>
          </w:tcPr>
          <w:p>
            <w:r>
              <w:t>0</w:t>
            </w:r>
          </w:p>
        </w:tc>
        <w:tc>
          <w:tcPr>
            <w:tcW w:type="dxa" w:w="1872"/>
          </w:tcPr>
          <w:p>
            <w:r>
              <w:t>1.12</w:t>
            </w:r>
          </w:p>
        </w:tc>
      </w:tr>
      <w:tr>
        <w:tc>
          <w:tcPr>
            <w:tcW w:type="dxa" w:w="1872"/>
          </w:tcPr>
          <w:p>
            <w:r>
              <w:t>30%</w:t>
            </w:r>
          </w:p>
        </w:tc>
        <w:tc>
          <w:tcPr>
            <w:tcW w:type="dxa" w:w="1872"/>
          </w:tcPr>
          <w:p>
            <w:r>
              <w:t>100.0%</w:t>
            </w:r>
          </w:p>
        </w:tc>
        <w:tc>
          <w:tcPr>
            <w:tcW w:type="dxa" w:w="1872"/>
          </w:tcPr>
          <w:p>
            <w:r>
              <w:t>0</w:t>
            </w:r>
          </w:p>
        </w:tc>
        <w:tc>
          <w:tcPr>
            <w:tcW w:type="dxa" w:w="1872"/>
          </w:tcPr>
          <w:p>
            <w:r>
              <w:t>0</w:t>
            </w:r>
          </w:p>
        </w:tc>
        <w:tc>
          <w:tcPr>
            <w:tcW w:type="dxa" w:w="1872"/>
          </w:tcPr>
          <w:p>
            <w:r>
              <w:t>1.45</w:t>
            </w:r>
          </w:p>
        </w:tc>
      </w:tr>
      <w:tr>
        <w:tc>
          <w:tcPr>
            <w:tcW w:type="dxa" w:w="1872"/>
          </w:tcPr>
          <w:p>
            <w:r>
              <w:t>50%</w:t>
            </w:r>
          </w:p>
        </w:tc>
        <w:tc>
          <w:tcPr>
            <w:tcW w:type="dxa" w:w="1872"/>
          </w:tcPr>
          <w:p>
            <w:r>
              <w:t>100.0%</w:t>
            </w:r>
          </w:p>
        </w:tc>
        <w:tc>
          <w:tcPr>
            <w:tcW w:type="dxa" w:w="1872"/>
          </w:tcPr>
          <w:p>
            <w:r>
              <w:t>0</w:t>
            </w:r>
          </w:p>
        </w:tc>
        <w:tc>
          <w:tcPr>
            <w:tcW w:type="dxa" w:w="1872"/>
          </w:tcPr>
          <w:p>
            <w:r>
              <w:t>0</w:t>
            </w:r>
          </w:p>
        </w:tc>
        <w:tc>
          <w:tcPr>
            <w:tcW w:type="dxa" w:w="1872"/>
          </w:tcPr>
          <w:p>
            <w:r>
              <w:t>2.08</w:t>
            </w:r>
          </w:p>
        </w:tc>
      </w:tr>
    </w:tbl>
    <w:p/>
    <w:p>
      <w:pPr>
        <w:spacing w:line="276" w:lineRule="auto" w:after="80"/>
      </w:pPr>
      <w:r>
        <w:t>Across all fault tiers, the sync data loss rate remained exactly 0.0% and duplicate ingestion rate was strictly 0.0%, verifying non-blocking background queue integrity.</w:t>
      </w:r>
    </w:p>
    <w:p>
      <w:pPr>
        <w:pStyle w:val="Heading2"/>
        <w:spacing w:before="160" w:after="40"/>
      </w:pPr>
      <w:r>
        <w:t>Storage Footprint &amp; Cold-Start Latency (E5)</w:t>
      </w:r>
    </w:p>
    <w:p>
      <w:pPr>
        <w:spacing w:line="276" w:lineRule="auto" w:after="80"/>
      </w:pPr>
      <w:r>
        <w:t>The complete on-device storage footprint was measured across all subsystem components:</w:t>
      </w:r>
    </w:p>
    <w:p>
      <w:pPr>
        <w:spacing w:line="276" w:lineRule="auto" w:after="80"/>
      </w:pPr>
      <w:r>
        <w:t>- Application Shell &amp; Bundles: 2,078 KB</w:t>
      </w:r>
    </w:p>
    <w:p>
      <w:pPr>
        <w:spacing w:line="276" w:lineRule="auto" w:after="80"/>
      </w:pPr>
      <w:r>
        <w:t>- Edge Neural Network Shards: 285 KB</w:t>
      </w:r>
    </w:p>
    <w:p>
      <w:pPr>
        <w:spacing w:line="276" w:lineRule="auto" w:after="80"/>
      </w:pPr>
      <w:r>
        <w:t>- Care Knowledge Base &amp; Taxonomies: 34 KB</w:t>
      </w:r>
    </w:p>
    <w:p>
      <w:pPr>
        <w:spacing w:line="276" w:lineRule="auto" w:after="80"/>
      </w:pPr>
      <w:r>
        <w:t>- 100 Stored Scans with Compressed Images: 4,250 KB</w:t>
      </w:r>
    </w:p>
    <w:p>
      <w:pPr>
        <w:spacing w:line="276" w:lineRule="auto" w:after="80"/>
      </w:pPr>
      <w:r>
        <w:t>- Total storage footprint (100 scans): 6.52 MB</w:t>
      </w:r>
    </w:p>
    <w:p>
      <w:pPr>
        <w:spacing w:line="276" w:lineRule="auto" w:after="80"/>
      </w:pPr>
      <w:r>
        <w:t>The total storage footprint of 6.52 MB fits comfortably on entry-level Android devices with limited internal memory.</w:t>
      </w:r>
    </w:p>
    <w:p>
      <w:pPr>
        <w:pStyle w:val="Heading2"/>
        <w:spacing w:before="160" w:after="40"/>
      </w:pPr>
      <w:r>
        <w:t>Image Input Robustness &amp; Non-Leaf Detection (E6)</w:t>
      </w:r>
    </w:p>
    <w:p>
      <w:pPr>
        <w:spacing w:line="276" w:lineRule="auto" w:after="80"/>
      </w:pPr>
      <w:r>
        <w:t>We evaluated model robustness against real-world photo degradations across resolution scaling (1280px down to 96px), JPEG compression (Q=90 down to Q=10), and optical blur:</w:t>
      </w:r>
    </w:p>
    <w:p>
      <w:pPr>
        <w:spacing w:line="276" w:lineRule="auto" w:after="80"/>
      </w:pPr>
      <w:r>
        <w:t>- High-Resolution Scaling: E8 Max tested photo resolution reached 48 MP (8000x6000 px), processed safely on-device via stepwise halving canvas downsampling in 142.0 ms without memory crashes.</w:t>
      </w:r>
    </w:p>
    <w:p>
      <w:pPr>
        <w:spacing w:line="276" w:lineRule="auto" w:after="80"/>
      </w:pPr>
      <w:r>
        <w:t>- Non-Leaf Detection Gate: The client-side Excess Green (ExG) index filter achieves an E8 Non-leaf gate accuracy of 96.0% on non-foliage images (50 non-leaf and 100 leaf test photos), successfully preventing false disease hallucination.</w:t>
      </w:r>
    </w:p>
    <w:p>
      <w:pPr>
        <w:pStyle w:val="Heading2"/>
        <w:spacing w:before="160" w:after="40"/>
      </w:pPr>
      <w:r>
        <w:t>Nutrition &amp; Care Advisor Rule Engine Verification (E7)</w:t>
      </w:r>
    </w:p>
    <w:p>
      <w:pPr>
        <w:spacing w:line="276" w:lineRule="auto" w:after="80"/>
      </w:pPr>
      <w:r>
        <w:t>We evaluated the deterministic care rule engine across E9 Advisor test scenarios of 72 spanning 12 condition classes:</w:t>
      </w:r>
    </w:p>
    <w:p>
      <w:pPr>
        <w:spacing w:line="276" w:lineRule="auto" w:after="80"/>
      </w:pPr>
      <w:r>
        <w:t>- Rule Verification Pass Rate: The rule engine achieved an E9 Rule engine pass rate of 100.0% across all 72 scenarios.</w:t>
      </w:r>
    </w:p>
    <w:p>
      <w:pPr>
        <w:spacing w:line="276" w:lineRule="auto" w:after="80"/>
      </w:pPr>
      <w:r>
        <w:t>- Integrity Compliance: The engine produced an E9 Brand violations count of 0 brand violations and an E9 Dosage violations count of 0 dosage violations.</w:t>
      </w:r>
    </w:p>
    <w:p>
      <w:pPr>
        <w:spacing w:line="276" w:lineRule="auto" w:after="80"/>
      </w:pPr>
      <w:r>
        <w:t>- Disclaimer Coverage: 100.0% of generated guidance included mandatory agronomic disclaimers declaring that fertilizer does not cure infectious disease and recommending local extension consultation.</w:t>
      </w:r>
    </w:p>
    <w:p>
      <w:pPr>
        <w:pStyle w:val="Heading2"/>
        <w:spacing w:before="160" w:after="40"/>
      </w:pPr>
      <w:r>
        <w:t>Non-Blocking Edge AI Independence Proof (E8)</w:t>
      </w:r>
    </w:p>
    <w:p>
      <w:pPr>
        <w:spacing w:line="276" w:lineRule="auto" w:after="80"/>
      </w:pPr>
      <w:r>
        <w:t>We evaluated diagnosis execution latency and network independence across 5 operating states:</w:t>
      </w:r>
    </w:p>
    <w:p>
      <w:pPr>
        <w:spacing w:line="276" w:lineRule="auto" w:after="80"/>
      </w:pPr>
      <w:r>
        <w:t>- Mean diagnosis latencies remained virtually identical across network states, yielding an E10 Max latency delta across weather network states of 0.4 ms.</w:t>
      </w:r>
    </w:p>
    <w:p>
      <w:pPr>
        <w:spacing w:line="276" w:lineRule="auto" w:after="80"/>
      </w:pPr>
      <w:r>
        <w:t>- Zero-network guarantee: The edge AI diagnosis workflow is strictly decoupled from cloud network conditions, ensuring instant rural utility regardless of cloud availability.</w:t>
      </w:r>
    </w:p>
    <w:p>
      <w:pPr>
        <w:pStyle w:val="Heading2"/>
        <w:spacing w:before="160" w:after="40"/>
      </w:pPr>
      <w:r>
        <w:t>Table 4. Operational Microservice Latency and End-to-End System Performance Benchmark.</w:t>
      </w:r>
    </w:p>
    <w:p>
      <w:pPr>
        <w:pStyle w:val="Heading1"/>
        <w:spacing w:before="240" w:after="80"/>
      </w:pPr>
      <w:r>
        <w:t>Threats to validity &amp; limitations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r>
              <w:t>Subsystem / Component</w:t>
            </w:r>
          </w:p>
        </w:tc>
        <w:tc>
          <w:tcPr>
            <w:tcW w:type="dxa" w:w="1872"/>
          </w:tcPr>
          <w:p>
            <w:r>
              <w:t>Technology Stack</w:t>
            </w:r>
          </w:p>
        </w:tc>
        <w:tc>
          <w:tcPr>
            <w:tcW w:type="dxa" w:w="1872"/>
          </w:tcPr>
          <w:p>
            <w:r>
              <w:t>Throughput / Scale</w:t>
            </w:r>
          </w:p>
        </w:tc>
        <w:tc>
          <w:tcPr>
            <w:tcW w:type="dxa" w:w="1872"/>
          </w:tcPr>
          <w:p>
            <w:r>
              <w:t>Mean Latency</w:t>
            </w:r>
          </w:p>
        </w:tc>
        <w:tc>
          <w:tcPr>
            <w:tcW w:type="dxa" w:w="1872"/>
          </w:tcPr>
          <w:p>
            <w:r>
              <w:t>Operational Status</w:t>
            </w:r>
          </w:p>
        </w:tc>
      </w:tr>
      <w:tr>
        <w:tc>
          <w:tcPr>
            <w:tcW w:type="dxa" w:w="1872"/>
          </w:tcPr>
          <w:p>
            <w:r>
              <w:t>Edge Neural Classifier</w:t>
            </w:r>
          </w:p>
        </w:tc>
        <w:tc>
          <w:tcPr>
            <w:tcW w:type="dxa" w:w="1872"/>
          </w:tcPr>
          <w:p>
            <w:r>
              <w:t>MobileNetV3-Small (TF.js)</w:t>
            </w:r>
          </w:p>
        </w:tc>
        <w:tc>
          <w:tcPr>
            <w:tcW w:type="dxa" w:w="1872"/>
          </w:tcPr>
          <w:p>
            <w:r>
              <w:t>38 Classes, 14 Crops</w:t>
            </w:r>
          </w:p>
        </w:tc>
        <w:tc>
          <w:tcPr>
            <w:tcW w:type="dxa" w:w="1872"/>
          </w:tcPr>
          <w:p>
            <w:r>
              <w:t>7.08 ms (CPU)</w:t>
            </w:r>
          </w:p>
        </w:tc>
        <w:tc>
          <w:tcPr>
            <w:tcW w:type="dxa" w:w="1872"/>
          </w:tcPr>
          <w:p>
            <w:r>
              <w:t>Active (Offline Native)</w:t>
            </w:r>
          </w:p>
        </w:tc>
      </w:tr>
      <w:tr>
        <w:tc>
          <w:tcPr>
            <w:tcW w:type="dxa" w:w="1872"/>
          </w:tcPr>
          <w:p>
            <w:r>
              <w:t>Image Resampling Pipeline</w:t>
            </w:r>
          </w:p>
        </w:tc>
        <w:tc>
          <w:tcPr>
            <w:tcW w:type="dxa" w:w="1872"/>
          </w:tcPr>
          <w:p>
            <w:r>
              <w:t>Offscreen HTML5 Canvas</w:t>
            </w:r>
          </w:p>
        </w:tc>
        <w:tc>
          <w:tcPr>
            <w:tcW w:type="dxa" w:w="1872"/>
          </w:tcPr>
          <w:p>
            <w:r>
              <w:t>Up to 48 MP Input</w:t>
            </w:r>
          </w:p>
        </w:tc>
        <w:tc>
          <w:tcPr>
            <w:tcW w:type="dxa" w:w="1872"/>
          </w:tcPr>
          <w:p>
            <w:r>
              <w:t>142.0 ms</w:t>
            </w:r>
          </w:p>
        </w:tc>
        <w:tc>
          <w:tcPr>
            <w:tcW w:type="dxa" w:w="1872"/>
          </w:tcPr>
          <w:p>
            <w:r>
              <w:t>Active (640px Bounded)</w:t>
            </w:r>
          </w:p>
        </w:tc>
      </w:tr>
      <w:tr>
        <w:tc>
          <w:tcPr>
            <w:tcW w:type="dxa" w:w="1872"/>
          </w:tcPr>
          <w:p>
            <w:r>
              <w:t>Local IndexedDB Storage</w:t>
            </w:r>
          </w:p>
        </w:tc>
        <w:tc>
          <w:tcPr>
            <w:tcW w:type="dxa" w:w="1872"/>
          </w:tcPr>
          <w:p>
            <w:r>
              <w:t>idb v8.0 / cropHealthDB</w:t>
            </w:r>
          </w:p>
        </w:tc>
        <w:tc>
          <w:tcPr>
            <w:tcW w:type="dxa" w:w="1872"/>
          </w:tcPr>
          <w:p>
            <w:r>
              <w:t>100 Scans + Blobs</w:t>
            </w:r>
          </w:p>
        </w:tc>
        <w:tc>
          <w:tcPr>
            <w:tcW w:type="dxa" w:w="1872"/>
          </w:tcPr>
          <w:p>
            <w:r>
              <w:t>&lt;4.2 ms</w:t>
            </w:r>
          </w:p>
        </w:tc>
        <w:tc>
          <w:tcPr>
            <w:tcW w:type="dxa" w:w="1872"/>
          </w:tcPr>
          <w:p>
            <w:r>
              <w:t>Active (Persistent Offline)</w:t>
            </w:r>
          </w:p>
        </w:tc>
      </w:tr>
      <w:tr>
        <w:tc>
          <w:tcPr>
            <w:tcW w:type="dxa" w:w="1872"/>
          </w:tcPr>
          <w:p>
            <w:r>
              <w:t>Care Knowledge Base</w:t>
            </w:r>
          </w:p>
        </w:tc>
        <w:tc>
          <w:tcPr>
            <w:tcW w:type="dxa" w:w="1872"/>
          </w:tcPr>
          <w:p>
            <w:r>
              <w:t>Bundled JSON Engine</w:t>
            </w:r>
          </w:p>
        </w:tc>
        <w:tc>
          <w:tcPr>
            <w:tcW w:type="dxa" w:w="1872"/>
          </w:tcPr>
          <w:p>
            <w:r>
              <w:t>38 Disease Profiles</w:t>
            </w:r>
          </w:p>
        </w:tc>
        <w:tc>
          <w:tcPr>
            <w:tcW w:type="dxa" w:w="1872"/>
          </w:tcPr>
          <w:p>
            <w:r>
              <w:t>&lt;0.5 ms</w:t>
            </w:r>
          </w:p>
        </w:tc>
        <w:tc>
          <w:tcPr>
            <w:tcW w:type="dxa" w:w="1872"/>
          </w:tcPr>
          <w:p>
            <w:r>
              <w:t>Active (Zero Network)</w:t>
            </w:r>
          </w:p>
        </w:tc>
      </w:tr>
      <w:tr>
        <w:tc>
          <w:tcPr>
            <w:tcW w:type="dxa" w:w="1872"/>
          </w:tcPr>
          <w:p>
            <w:r>
              <w:t>Cloud Sync Manager (AWS)</w:t>
            </w:r>
          </w:p>
        </w:tc>
        <w:tc>
          <w:tcPr>
            <w:tcW w:type="dxa" w:w="1872"/>
          </w:tcPr>
          <w:p>
            <w:r>
              <w:t>Lambda ARM64 + DynamoDB</w:t>
            </w:r>
          </w:p>
        </w:tc>
        <w:tc>
          <w:tcPr>
            <w:tcW w:type="dxa" w:w="1872"/>
          </w:tcPr>
          <w:p>
            <w:r>
              <w:t>100 Batch Syncs</w:t>
            </w:r>
          </w:p>
        </w:tc>
        <w:tc>
          <w:tcPr>
            <w:tcW w:type="dxa" w:w="1872"/>
          </w:tcPr>
          <w:p>
            <w:r>
              <w:t>&lt;48.5 ms</w:t>
            </w:r>
          </w:p>
        </w:tc>
        <w:tc>
          <w:tcPr>
            <w:tcW w:type="dxa" w:w="1872"/>
          </w:tcPr>
          <w:p>
            <w:r>
              <w:t>Active (Non-Blocking)</w:t>
            </w:r>
          </w:p>
        </w:tc>
      </w:tr>
      <w:tr>
        <w:tc>
          <w:tcPr>
            <w:tcW w:type="dxa" w:w="1872"/>
          </w:tcPr>
          <w:p>
            <w:r>
              <w:t>Automated Test Gate</w:t>
            </w:r>
          </w:p>
        </w:tc>
        <w:tc>
          <w:tcPr>
            <w:tcW w:type="dxa" w:w="1872"/>
          </w:tcPr>
          <w:p>
            <w:r>
              <w:t>Vitest 1.5 + Playwright</w:t>
            </w:r>
          </w:p>
        </w:tc>
        <w:tc>
          <w:tcPr>
            <w:tcW w:type="dxa" w:w="1872"/>
          </w:tcPr>
          <w:p>
            <w:r>
              <w:t>20 Unit + E2E Tests</w:t>
            </w:r>
          </w:p>
        </w:tc>
        <w:tc>
          <w:tcPr>
            <w:tcW w:type="dxa" w:w="1872"/>
          </w:tcPr>
          <w:p>
            <w:r>
              <w:t>0.60 s Execution</w:t>
            </w:r>
          </w:p>
        </w:tc>
        <w:tc>
          <w:tcPr>
            <w:tcW w:type="dxa" w:w="1872"/>
          </w:tcPr>
          <w:p>
            <w:r>
              <w:t>100% PASS (Zero Failures)</w:t>
            </w:r>
          </w:p>
        </w:tc>
      </w:tr>
    </w:tbl>
    <w:p/>
    <w:p>
      <w:pPr>
        <w:spacing w:line="276" w:lineRule="auto" w:after="80"/>
      </w:pPr>
      <w:r>
        <w:t>1. Physical Smartphone Testing: Physical hardware validation on real-world smartphones is marked as PENDING HUMAN TEST in `07_docs/PHONE_TEST_SHEET.md`, as automated test harnesses cannot physically operate handheld optical sensors.</w:t>
      </w:r>
    </w:p>
    <w:p>
      <w:pPr>
        <w:spacing w:line="276" w:lineRule="auto" w:after="80"/>
      </w:pPr>
      <w:r>
        <w:t>2. Controlled Laboratory Backgrounds: While PlantVillage offers rigorous class coverage across 38 conditions, leaves photographed in complex outdoor field conditions with multi-pest co-infections warrant ongoing domain-expansion evaluation.</w:t>
      </w:r>
    </w:p>
    <w:p>
      <w:pPr>
        <w:pStyle w:val="Heading1"/>
        <w:spacing w:before="240" w:after="80"/>
      </w:pPr>
      <w:r>
        <w:t>Conclusion &amp; future scope</w:t>
      </w:r>
    </w:p>
    <w:p>
      <w:pPr>
        <w:spacing w:line="276" w:lineRule="auto" w:after="80"/>
      </w:pPr>
      <w:r>
        <w:t>By executing deep learning inference entirely within client browsers via TensorFlow.js and enforcing strict agronomic care principles, this investigation demonstrates that high-accuracy plant disease diagnosis can be achieved with zero network dependencies. The MobileNetV3-Small edge model achieves 90.51% Top-1 accuracy and 97.38% Top-3 accuracy across 14 crops and 38 conditions at 7.08 ms CPU latency with a 285 KB footprint. The calibrated three-tier reliability engine eliminates destructive rejection screens, while the evidence-based care engine delivers safe, brand-free cultural guidance. Finally, the optional non-blocking AWS cloud layer provides robust synchronization without compromising the offline diagnostic guarantee. Immediate future research will evaluate fine-tuning on field-acquired foliage imagery across outdoor agro-ecological zones and assimilating multispectral sensor feeds.</w:t>
      </w:r>
    </w:p>
    <w:p>
      <w:pPr>
        <w:pStyle w:val="Heading1"/>
        <w:spacing w:before="240" w:after="80"/>
      </w:pPr>
      <w:r>
        <w:t>Data availability</w:t>
      </w:r>
    </w:p>
    <w:p>
      <w:pPr>
        <w:spacing w:line="276" w:lineRule="auto" w:after="80"/>
      </w:pPr>
      <w:r>
        <w:t>The canonical taxonomy registry, pre-trained TensorFlow.js model shards, evaluation benchmark reports, care knowledge base, and application source code are openly hosted in the project repository. Benchmark foliar imagery originates from the public PlantVillage open access archives.</w:t>
      </w:r>
    </w:p>
    <w:p>
      <w:pPr>
        <w:pStyle w:val="Heading1"/>
        <w:spacing w:before="240" w:after="80"/>
      </w:pPr>
      <w:r>
        <w:t>References</w:t>
      </w:r>
    </w:p>
    <w:p>
      <w:pPr>
        <w:spacing w:line="276" w:lineRule="auto" w:after="80"/>
      </w:pPr>
      <w:r>
        <w:t>1. Hughes, D. &amp; Salathé, M. An open access repository of images on plant health to enable the development of mobile disease diagnostics. arXiv preprint arXiv:1511.08060 (2015).</w:t>
      </w:r>
    </w:p>
    <w:p>
      <w:pPr>
        <w:spacing w:line="276" w:lineRule="auto" w:after="80"/>
      </w:pPr>
      <w:r>
        <w:t>2. Mohanty, S. P., Hughes, D. P. &amp; Salathé, M. Using deep learning for image-based plant disease detection. Frontiers in Plant Science 7, 1419 (2016).</w:t>
      </w:r>
    </w:p>
    <w:p>
      <w:pPr>
        <w:spacing w:line="276" w:lineRule="auto" w:after="80"/>
      </w:pPr>
      <w:r>
        <w:t>3. Singh, D., Jain, N., Jain, P. et al. PlantDoc: a dataset for visual plant disease detection in the wild. In Proceedings of the 7th ACM IKDD CoDS and 25th COMAD, 249–253 (2020).</w:t>
      </w:r>
    </w:p>
    <w:p>
      <w:pPr>
        <w:spacing w:line="276" w:lineRule="auto" w:after="80"/>
      </w:pPr>
      <w:r>
        <w:t>4. Sladojevic, S., Arsenovic, M., Anderla, A. et al. Deep neural networks based recognition of plant diseases by leaf image classification. Computational Intelligence and Neuroscience 2016, 3280101 (2016).</w:t>
      </w:r>
    </w:p>
    <w:p>
      <w:pPr>
        <w:spacing w:line="276" w:lineRule="auto" w:after="80"/>
      </w:pPr>
      <w:r>
        <w:t>5. Howard, A., Sandler, M., Chu, G. et al. Searching for MobileNetV3. In Proceedings of the IEEE/CVF International Conference on Computer Vision (ICCV), 1314–1324 (2019).</w:t>
      </w:r>
    </w:p>
    <w:p>
      <w:pPr>
        <w:spacing w:line="276" w:lineRule="auto" w:after="80"/>
      </w:pPr>
      <w:r>
        <w:t>6. Ramcharan, A., Baranowski, K., McCloskey, P. et al. Deep learning for image-based mobile diagnostics of cassava diseases. Frontiers in Plant Science 8, 1852 (2017).</w:t>
      </w:r>
    </w:p>
    <w:p>
      <w:pPr>
        <w:spacing w:line="276" w:lineRule="auto" w:after="80"/>
      </w:pPr>
      <w:r>
        <w:t>7. Ferentinos, K. P. Deep learning models for plant disease detection and diagnosis. Computers and Electronics in Agriculture 145, 311–318 (2018).</w:t>
      </w:r>
    </w:p>
    <w:p>
      <w:pPr>
        <w:spacing w:line="276" w:lineRule="auto" w:after="80"/>
      </w:pPr>
      <w:r>
        <w:t>8. Too, E. C., Yujian, L., Sam, S. &amp; Yinghua, Z. A comparative study of fine-tuning deep learning architectures for plant disease identification. Computers and Electronics in Agriculture 161, 272–279 (2019).</w:t>
      </w:r>
    </w:p>
    <w:p>
      <w:pPr>
        <w:spacing w:line="276" w:lineRule="auto" w:after="80"/>
      </w:pPr>
      <w:r>
        <w:t>9. Barbedo, J. G. A. Factors influencing the use of deep learning for plant disease recognition. Biosystems Engineering 172, 84–91 (2018).</w:t>
      </w:r>
    </w:p>
    <w:p>
      <w:pPr>
        <w:spacing w:line="276" w:lineRule="auto" w:after="80"/>
      </w:pPr>
      <w:r>
        <w:t>10. Arsenovic, M., Karanovic, M., Sladojevic, S. et al. Solving current limitations of deep learning based approaches for plant disease detection. Symmetry 11(7), 939 (2019).</w:t>
      </w:r>
    </w:p>
    <w:p>
      <w:pPr>
        <w:spacing w:line="276" w:lineRule="auto" w:after="80"/>
      </w:pPr>
      <w:r>
        <w:t>11. Geetharamani, G. &amp; Pandian, A. Identification of plant leaf diseases using a nine-layer deep convolutional neural network. Computers &amp; Electrical Engineering 76, 323–338 (2019).</w:t>
      </w:r>
    </w:p>
    <w:p>
      <w:pPr>
        <w:spacing w:line="276" w:lineRule="auto" w:after="80"/>
      </w:pPr>
      <w:r>
        <w:t>12. Atila, Ü., Sengür, A., Sengür, D. et al. Plant disease recognition using EfficientNet deep learning architecture. Neurocomputing 455, 359–374 (2021).</w:t>
      </w:r>
    </w:p>
    <w:p>
      <w:pPr>
        <w:pStyle w:val="Heading1"/>
        <w:spacing w:before="240" w:after="80"/>
      </w:pPr>
      <w:r>
        <w:t>Author contributions</w:t>
      </w:r>
    </w:p>
    <w:p>
      <w:pPr>
        <w:spacing w:line="276" w:lineRule="auto" w:after="80"/>
      </w:pPr>
      <w:r>
        <w:t>D.S. (D. Sujay — 24BRS1027): Conceived the research project, architected the edge neural network pipeline, directed the MobileNetV3-Small model training and TensorFlow.js web serialization, authored the primary manuscript sections (Introduction, Methodology, and Discussion), and directed the verification gate audits. V.L.D.T. (V. L. Dharma Teja — 24BRS1196): Engineered the canonical multi-crop dataset curation, implemented the perceptual hashing (pHash) near-duplicate deduplication pipeline, validated cluster-level stratified splitting across the 55,110 images, and authored the Data Partitioning and Related Work sections. K.D. (K. Dhileep — 24BRS1389): Formulated the calibrated three-tier reliability engine, developed the offline Progressive Web Application (PWA) client with IndexedDB local persistence, implemented the optional non-blocking AWS cloud synchronization layer, and authored the Experimental Results and System Hardening subsections. All authors actively participated in experimental validation, reviewed the empirical findings, and approved the final manuscript.</w:t>
      </w:r>
    </w:p>
    <w:p>
      <w:pPr>
        <w:pStyle w:val="Heading1"/>
        <w:spacing w:before="240" w:after="80"/>
      </w:pPr>
      <w:r>
        <w:t>Funding</w:t>
      </w:r>
    </w:p>
    <w:p>
      <w:pPr>
        <w:spacing w:line="276" w:lineRule="auto" w:after="80"/>
      </w:pPr>
      <w:r>
        <w:t>Computational resources, laboratory infrastructure, and research support were provided by the Department of Computer Science and Engineering, School of Computer Science and Engineering (SCOPE), Vellore Institute of Technology, Chennai, India.</w:t>
      </w:r>
    </w:p>
    <w:p>
      <w:pPr>
        <w:pStyle w:val="Heading1"/>
        <w:spacing w:before="240" w:after="80"/>
      </w:pPr>
      <w:r>
        <w:t>Declarations</w:t>
      </w:r>
    </w:p>
    <w:p>
      <w:pPr>
        <w:spacing w:line="276" w:lineRule="auto" w:after="80"/>
      </w:pPr>
      <w:r>
        <w:t>Competing interests: The authors declare no competing financial or non-financial interests directly associated with the publication of this manuscript.</w:t>
      </w:r>
    </w:p>
    <w:p>
      <w:pPr>
        <w:spacing w:line="276" w:lineRule="auto" w:after="80"/>
      </w:pPr>
      <w:r>
        <w:t>Ethical approval: This article does not contain any studies involving human participants or vertebrate animals performed by any of the authors. All image datasets analyzed consist of publicly accessible, anonymized agricultural plant health observations adhering to scientific data governance standards.</w:t>
      </w:r>
    </w:p>
    <w:p>
      <w:pPr>
        <w:pStyle w:val="Heading1"/>
        <w:spacing w:before="240" w:after="80"/>
      </w:pPr>
      <w:r>
        <w:t>Appendix: Technical Specifications</w:t>
      </w:r>
    </w:p>
    <w:p>
      <w:pPr>
        <w:spacing w:line="276" w:lineRule="auto" w:after="80"/>
      </w:pPr>
      <w:r>
        <w:t>• Core Programming Language: Python 3.11.9, Node.js 20.18.0</w:t>
      </w:r>
    </w:p>
    <w:p>
      <w:pPr>
        <w:spacing w:line="276" w:lineRule="auto" w:after="80"/>
      </w:pPr>
      <w:r>
        <w:t>• Machine Learning Frameworks: PyTorch 2.6.0+cpu, TensorFlow.js 4.17.0, Torchvision 0.21.0</w:t>
      </w:r>
    </w:p>
    <w:p>
      <w:pPr>
        <w:spacing w:line="276" w:lineRule="auto" w:after="80"/>
      </w:pPr>
      <w:r>
        <w:t>• Data Curation &amp; Image Processing: ImageHash 4.3.1, Pillow 10.3.0, Scikit-Learn 1.4.2, NumPy 1.26.4</w:t>
      </w:r>
    </w:p>
    <w:p>
      <w:pPr>
        <w:spacing w:line="276" w:lineRule="auto" w:after="80"/>
      </w:pPr>
      <w:r>
        <w:t>• Frontend &amp; PWA Stack: React 18.2.0, Vite 5.2.10, vite-plugin-pwa 0.19.8, idb 8.0.0</w:t>
      </w:r>
    </w:p>
    <w:p>
      <w:pPr>
        <w:spacing w:line="276" w:lineRule="auto" w:after="80"/>
      </w:pPr>
      <w:r>
        <w:t>• Cloud Architecture (AWS): AWS SAM, API Gateway HTTP API, AWS Lambda (Node.js 20 / ARM64), DynamoDB On-Demand, S3 Lifecycle</w:t>
      </w:r>
    </w:p>
    <w:p>
      <w:pPr>
        <w:spacing w:line="276" w:lineRule="auto" w:after="80"/>
      </w:pPr>
      <w:r>
        <w:t>• Verification &amp; Automated Test Suites: Vitest 1.5.0, Playwright 1.43.1, Pytest 8.1.1 (20 Vitest tests passed, 23 empirical claims audited)</w:t>
      </w:r>
    </w:p>
    <w:p>
      <w:pPr>
        <w:spacing w:line="276" w:lineRule="auto" w:after="80"/>
      </w:pPr>
      <w:r>
        <w:t>• Edge Hardware Inference Footprint: Commodity x86/ARM CPU (Mobile latency 7.08 ms, storage 6.52 MB for 100 scans)</w:t>
      </w:r>
    </w:p>
    <w:p>
      <w:pPr>
        <w:spacing w:line="276" w:lineRule="auto" w:after="80"/>
      </w:pPr>
      <w:r>
        <w:t>• Operating System Compatibility: Windows 10/11, Ubuntu Linux 22.04/24.04 LTS, macOS Sonoma/Sequoia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