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1"/>
        <w:pBdr/>
        <w:spacing w:after="0" w:before="0"/>
        <w:ind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tbl>
      <w:tblPr>
        <w:tblInd w:w="451" w:type="dxa"/>
        <w:tblW w:w="9571" w:type="dxa"/>
        <w:tblCellMar>
          <w:left w:w="108" w:type="dxa"/>
          <w:top w:w="200" w:type="dxa"/>
          <w:right w:w="108" w:type="dxa"/>
          <w:bottom w:w="14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Borders>
              <w:bottom w:val="single" w:color="000000" w:sz="4" w:space="0"/>
            </w:tcBorders>
            <w:tcW w:w="9571" w:type="dxa"/>
            <w:textDirection w:val="lrTb"/>
            <w:noWrap w:val="false"/>
          </w:tcPr>
          <w:p>
            <w:pPr>
              <w:pStyle w:val="901"/>
              <w:pBdr/>
              <w:spacing w:after="240" w:before="240"/>
              <w:ind/>
              <w:jc w:val="center"/>
              <w:rPr>
                <w:rFonts w:cs="Calibri"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Финансовый управляющий </w:t>
            </w:r>
            <w:r>
              <w:rPr>
                <w:rFonts w:cs="Calibri"/>
                <w:color w:val="00b050"/>
                <w:sz w:val="20"/>
                <w:szCs w:val="20"/>
                <w:lang w:val="en-US"/>
              </w:rPr>
              <w:t xml:space="preserve">{{</w:t>
            </w:r>
            <w:r>
              <w:rPr>
                <w:rFonts w:cs="Calibri"/>
                <w:color w:val="00b050"/>
                <w:sz w:val="20"/>
                <w:szCs w:val="20"/>
                <w:lang w:val="en-US"/>
              </w:rPr>
              <w:t xml:space="preserve">FullNameGenitive</w:t>
            </w:r>
            <w:r>
              <w:rPr>
                <w:rFonts w:cs="Calibri"/>
                <w:color w:val="00b050"/>
                <w:sz w:val="20"/>
                <w:szCs w:val="20"/>
                <w:lang w:val="en-US"/>
              </w:rPr>
              <w:t xml:space="preserve">}}</w:t>
            </w:r>
            <w:r>
              <w:rPr>
                <w:rFonts w:cs="Calibri"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  <w:t xml:space="preserve">– </w:t>
            </w:r>
            <w:r>
              <w:rPr>
                <w:bCs/>
                <w:color w:val="18a303" w:themeColor="accent1"/>
                <w:sz w:val="20"/>
                <w:szCs w:val="20"/>
                <w:lang w:val="en-US"/>
              </w:rPr>
              <w:t xml:space="preserve">{{</w:t>
            </w:r>
            <w:r>
              <w:rPr>
                <w:bCs/>
                <w:color w:val="18a303" w:themeColor="accent1"/>
                <w:sz w:val="20"/>
                <w:szCs w:val="20"/>
                <w:lang w:val="en-US"/>
              </w:rPr>
              <w:t xml:space="preserve">financialManager</w:t>
            </w:r>
            <w:r>
              <w:rPr>
                <w:bCs/>
                <w:color w:val="18a303" w:themeColor="accent1"/>
                <w:sz w:val="20"/>
                <w:szCs w:val="20"/>
                <w:lang w:val="en-US"/>
              </w:rPr>
              <w:t xml:space="preserve">.fio}}</w:t>
            </w:r>
            <w:r>
              <w:rPr>
                <w:rFonts w:cs="Calibri"/>
                <w:sz w:val="20"/>
                <w:szCs w:val="20"/>
              </w:rPr>
            </w:r>
            <w:r>
              <w:rPr>
                <w:rFonts w:cs="Calibri"/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Mar>
              <w:top w:w="140" w:type="dxa"/>
              <w:bottom w:w="400" w:type="dxa"/>
            </w:tcMar>
            <w:tcW w:w="9571" w:type="dxa"/>
            <w:textDirection w:val="lrTb"/>
            <w:noWrap w:val="false"/>
          </w:tcPr>
          <w:p>
            <w:pPr>
              <w:pStyle w:val="901"/>
              <w:pBdr/>
              <w:spacing w:after="0" w:before="0"/>
              <w:ind/>
              <w:rPr>
                <w:bCs/>
                <w:sz w:val="20"/>
                <w:szCs w:val="20"/>
              </w:rPr>
            </w:pPr>
            <w:r>
              <w:rPr>
                <w:bCs/>
                <w:color w:val="18a303" w:themeColor="accent1"/>
                <w:sz w:val="20"/>
                <w:szCs w:val="20"/>
                <w:lang w:val="en-US"/>
              </w:rPr>
              <w:t xml:space="preserve">{{</w:t>
            </w:r>
            <w:r>
              <w:rPr>
                <w:bCs/>
                <w:color w:val="18a303" w:themeColor="accent1"/>
                <w:sz w:val="20"/>
                <w:szCs w:val="20"/>
                <w:lang w:val="en-US"/>
              </w:rPr>
              <w:t xml:space="preserve">CorrespondenceAddress</w:t>
            </w:r>
            <w:r>
              <w:rPr>
                <w:bCs/>
                <w:color w:val="18a303" w:themeColor="accent1"/>
                <w:sz w:val="20"/>
                <w:szCs w:val="20"/>
                <w:lang w:val="en-US"/>
              </w:rPr>
              <w:t xml:space="preserve">}}</w:t>
            </w:r>
            <w:r>
              <w:rPr>
                <w:bCs/>
                <w:sz w:val="20"/>
                <w:szCs w:val="20"/>
              </w:rPr>
              <w:t xml:space="preserve"> </w:t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  <w:p>
            <w:pPr>
              <w:pStyle w:val="901"/>
              <w:pBdr/>
              <w:spacing w:after="0" w:before="0"/>
              <w:ind/>
              <w:rPr>
                <w:bCs/>
                <w:sz w:val="19"/>
              </w:rPr>
            </w:pPr>
            <w:r>
              <w:rPr>
                <w:bCs/>
                <w:sz w:val="20"/>
                <w:szCs w:val="20"/>
              </w:rPr>
              <w:t xml:space="preserve">эл. почта:</w:t>
            </w:r>
            <w:r>
              <w:rPr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color w:val="18a303" w:themeColor="accent1"/>
                <w:sz w:val="20"/>
                <w:szCs w:val="20"/>
                <w:lang w:val="en-US"/>
              </w:rPr>
              <w:t xml:space="preserve">{{</w:t>
            </w:r>
            <w:r>
              <w:rPr>
                <w:color w:val="18a303" w:themeColor="accent1"/>
                <w:sz w:val="20"/>
                <w:szCs w:val="20"/>
                <w:lang w:val="en-US"/>
              </w:rPr>
              <w:t xml:space="preserve">financialManager</w:t>
            </w:r>
            <w:r>
              <w:rPr>
                <w:color w:val="18a303" w:themeColor="accent1"/>
                <w:sz w:val="20"/>
                <w:szCs w:val="20"/>
                <w:lang w:val="en-US"/>
              </w:rPr>
              <w:t xml:space="preserve">.email}}</w:t>
            </w:r>
            <w:r>
              <w:rPr>
                <w:bCs/>
                <w:sz w:val="19"/>
              </w:rPr>
            </w:r>
            <w:r>
              <w:rPr>
                <w:bCs/>
                <w:sz w:val="19"/>
              </w:rPr>
            </w:r>
          </w:p>
        </w:tc>
      </w:tr>
    </w:tbl>
    <w:p>
      <w:pPr>
        <w:pStyle w:val="901"/>
        <w:pBdr/>
        <w:spacing w:after="0" w:before="0"/>
        <w:ind/>
        <w:rPr>
          <w:bCs/>
        </w:rPr>
      </w:pPr>
      <w:r>
        <w:rPr>
          <w:bCs/>
        </w:rPr>
      </w:r>
      <w:r>
        <w:rPr>
          <w:bCs/>
        </w:rPr>
      </w:r>
      <w:r>
        <w:rPr>
          <w:bCs/>
        </w:rPr>
      </w:r>
    </w:p>
    <w:tbl>
      <w:tblPr>
        <w:tblInd w:w="0" w:type="dxa"/>
        <w:tblW w:w="1045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3652"/>
        <w:gridCol w:w="6804"/>
      </w:tblGrid>
      <w:tr>
        <w:trPr>
          <w:trHeight w:val="636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652" w:type="dxa"/>
            <w:textDirection w:val="lrTb"/>
            <w:noWrap w:val="false"/>
          </w:tcPr>
          <w:p>
            <w:pPr>
              <w:pStyle w:val="901"/>
              <w:pBdr/>
              <w:spacing w:after="240" w:before="240"/>
              <w:ind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  <w:r>
              <w:rPr>
                <w:bCs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6804" w:type="dxa"/>
            <w:textDirection w:val="lrTb"/>
            <w:noWrap w:val="false"/>
          </w:tcPr>
          <w:p>
            <w:pPr>
              <w:pStyle w:val="900"/>
              <w:pBdr/>
              <w:spacing/>
              <w:ind/>
              <w:jc w:val="right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  <w:r>
              <w:rPr>
                <w:rFonts w:ascii="Times New Roman" w:hAnsi="Times New Roman" w:cs="Times New Roman"/>
                <w:bCs/>
                <w:sz w:val="20"/>
                <w:szCs w:val="20"/>
              </w:rPr>
            </w:r>
          </w:p>
          <w:p>
            <w:pPr>
              <w:pStyle w:val="900"/>
              <w:pBdr/>
              <w:spacing/>
              <w:ind/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color w:val="7030a0"/>
                <w:highlight w:val="yellow"/>
              </w:rPr>
              <w:t xml:space="preserve">В </w:t>
            </w:r>
            <w:r>
              <w:rPr>
                <w:rFonts w:ascii="Times New Roman" w:hAnsi="Times New Roman" w:cs="Times New Roman"/>
                <w:color w:val="7030a0"/>
                <w:highlight w:val="yellow"/>
              </w:rPr>
              <w:t xml:space="preserve">Банк ВТБ (ПАО)</w:t>
            </w:r>
            <w:r>
              <w:rPr>
                <w:rFonts w:ascii="Times New Roman" w:hAnsi="Times New Roman" w:cs="Times New Roman"/>
                <w:b/>
              </w:rPr>
            </w:r>
            <w:r>
              <w:rPr>
                <w:rFonts w:ascii="Times New Roman" w:hAnsi="Times New Roman" w:cs="Times New Roman"/>
                <w:b/>
              </w:rPr>
            </w:r>
          </w:p>
        </w:tc>
      </w:tr>
    </w:tbl>
    <w:p>
      <w:pPr>
        <w:pStyle w:val="888"/>
        <w:pBdr/>
        <w:spacing w:after="0" w:before="240"/>
        <w:ind/>
        <w:jc w:val="center"/>
        <w:rPr>
          <w:b/>
        </w:rPr>
      </w:pPr>
      <w:r>
        <w:rPr>
          <w:b/>
        </w:rPr>
        <w:t xml:space="preserve">Уведомление</w:t>
      </w:r>
      <w:r>
        <w:rPr>
          <w:b/>
        </w:rPr>
      </w:r>
      <w:r>
        <w:rPr>
          <w:b/>
        </w:rPr>
      </w:r>
    </w:p>
    <w:p>
      <w:pPr>
        <w:pStyle w:val="888"/>
        <w:pBdr/>
        <w:spacing w:after="120" w:before="0"/>
        <w:ind/>
        <w:jc w:val="center"/>
        <w:rPr>
          <w:b/>
        </w:rPr>
      </w:pPr>
      <w:r>
        <w:rPr>
          <w:b/>
        </w:rPr>
        <w:t xml:space="preserve">(распоряжение)</w:t>
      </w:r>
      <w:r>
        <w:rPr>
          <w:b/>
        </w:rPr>
      </w:r>
      <w:r>
        <w:rPr>
          <w:b/>
        </w:rPr>
      </w:r>
    </w:p>
    <w:p>
      <w:pPr>
        <w:pStyle w:val="888"/>
        <w:pBdr/>
        <w:spacing/>
        <w:ind w:right="0" w:firstLine="708"/>
        <w:jc w:val="both"/>
        <w:rPr>
          <w:color w:val="00b050"/>
        </w:rPr>
      </w:pPr>
      <w:r>
        <w:rPr>
          <w:color w:val="00b050"/>
        </w:rPr>
        <w:t xml:space="preserve">{{startNotificationText}}</w:t>
      </w:r>
      <w:r>
        <w:rPr>
          <w:color w:val="00b050"/>
        </w:rPr>
      </w:r>
      <w:r>
        <w:rPr>
          <w:color w:val="00b050"/>
        </w:rPr>
      </w:r>
    </w:p>
    <w:p>
      <w:pPr>
        <w:pStyle w:val="888"/>
        <w:pBdr/>
        <w:spacing/>
        <w:ind w:right="0" w:firstLine="708"/>
        <w:jc w:val="both"/>
        <w:rPr/>
      </w:pPr>
      <w:r>
        <w:t xml:space="preserve">Финансовым управляющим утвержден </w:t>
      </w:r>
      <w:r>
        <w:rPr>
          <w:color w:val="18a303" w:themeColor="accent1"/>
          <w:lang w:val="en-US"/>
        </w:rPr>
        <w:t xml:space="preserve">{{financialManagerInfo}}</w:t>
      </w:r>
      <w:r>
        <w:t xml:space="preserve">. </w:t>
      </w:r>
      <w:r/>
    </w:p>
    <w:p>
      <w:pPr>
        <w:pStyle w:val="888"/>
        <w:pBdr/>
        <w:spacing/>
        <w:ind w:right="0" w:firstLine="708"/>
        <w:jc w:val="both"/>
        <w:rPr/>
      </w:pPr>
      <w:r>
        <w:t xml:space="preserve">В соответствии с разъяснениями </w:t>
      </w:r>
      <w:r>
        <w:rPr>
          <w:b/>
        </w:rPr>
        <w:t xml:space="preserve">Постановления пленума Верховного Суда Российской Федерации №48 от 25.12.2018 г.</w:t>
      </w:r>
      <w:r>
        <w:t xml:space="preserve"> «О некоторых вопросах, связанных с особенностями формирования и распределения конкурсной массы в делах о банкротстве граждан» в части получения гражданами денежных средств, которые полагаются им в процедуре реализации:</w:t>
      </w:r>
      <w:r/>
    </w:p>
    <w:p>
      <w:pPr>
        <w:pStyle w:val="888"/>
        <w:pBdr/>
        <w:spacing/>
        <w:ind w:right="0" w:firstLine="708"/>
        <w:jc w:val="both"/>
        <w:rPr/>
      </w:pPr>
      <w:r>
        <w:t xml:space="preserve">«…Вопросы об исключении из конкурсной массы указанного имущества (в том числе денежных средств), о невключении в конкурсную массу названных выплат </w:t>
      </w:r>
      <w:r>
        <w:rPr>
          <w:b/>
          <w:u w:val="single"/>
        </w:rPr>
        <w:t xml:space="preserve">решаются финансовым управляющим самостоятельно во внесудебном порядке.</w:t>
      </w:r>
      <w:r>
        <w:t xml:space="preserve"> В частности, реализуя соответствующие полномочия, финансовый управляющий </w:t>
      </w:r>
      <w:r>
        <w:rPr>
          <w:b/>
        </w:rPr>
        <w:t xml:space="preserve">вправе направить</w:t>
      </w:r>
      <w:r>
        <w:t xml:space="preserve"> лицам, производящим денежные выплаты должнику (например, работодателю), </w:t>
      </w:r>
      <w:r>
        <w:rPr>
          <w:b/>
        </w:rPr>
        <w:t xml:space="preserve">уведомление</w:t>
      </w:r>
      <w:r>
        <w:t xml:space="preserve"> с указанием </w:t>
      </w:r>
      <w:r>
        <w:rPr>
          <w:b/>
        </w:rPr>
        <w:t xml:space="preserve">сумм, которые должник может получать лично, а также период, в течение которого данное уведомление действ</w:t>
      </w:r>
      <w:bookmarkStart w:id="0" w:name="_GoBack"/>
      <w:r/>
      <w:bookmarkEnd w:id="0"/>
      <w:r>
        <w:rPr>
          <w:b/>
        </w:rPr>
        <w:t xml:space="preserve">ует».</w:t>
      </w:r>
      <w:r/>
    </w:p>
    <w:p>
      <w:pPr>
        <w:pStyle w:val="888"/>
        <w:pBdr/>
        <w:spacing/>
        <w:ind w:right="0" w:firstLine="708"/>
        <w:jc w:val="both"/>
        <w:rPr/>
      </w:pPr>
      <w:r>
        <w:t xml:space="preserve">Довожу до сведения Банка, что </w:t>
      </w:r>
      <w:r>
        <w:rPr>
          <w:b/>
        </w:rPr>
        <w:t xml:space="preserve">Должник имеет право самостоятельно получить денежные средства со счета: №</w:t>
      </w:r>
      <w:r>
        <w:t xml:space="preserve"> </w:t>
      </w:r>
      <w:r>
        <w:rPr>
          <w:b/>
          <w:color w:val="7030a0"/>
        </w:rPr>
        <w:t xml:space="preserve">40817810490129042497</w:t>
      </w:r>
      <w:r>
        <w:t xml:space="preserve">, открытого в </w:t>
      </w:r>
      <w:r>
        <w:rPr>
          <w:color w:val="7030a0"/>
        </w:rPr>
        <w:t xml:space="preserve">Банк ВТБ (ПАО)</w:t>
      </w:r>
      <w:r>
        <w:rPr>
          <w:color w:val="7030a0"/>
        </w:rPr>
        <w:t xml:space="preserve">, </w:t>
      </w:r>
      <w:r>
        <w:rPr>
          <w:color w:val="7030a0"/>
        </w:rPr>
        <w:t xml:space="preserve">ЕДИНОРАЗОВО</w:t>
      </w:r>
      <w:r>
        <w:t xml:space="preserve"> в сумме не более </w:t>
      </w:r>
      <w:r>
        <w:rPr>
          <w:color w:val="7030a0"/>
        </w:rPr>
        <w:t xml:space="preserve">11 300</w:t>
      </w:r>
      <w:r>
        <w:t xml:space="preserve"> руб. в срок до</w:t>
      </w:r>
      <w:r>
        <w:rPr>
          <w:color w:val="7030a0"/>
        </w:rPr>
        <w:t xml:space="preserve"> </w:t>
      </w:r>
      <w:r>
        <w:rPr>
          <w:color w:val="7030a0"/>
        </w:rPr>
        <w:t xml:space="preserve">17.11.2025</w:t>
      </w:r>
      <w:r>
        <w:t xml:space="preserve"> г.</w:t>
      </w:r>
      <w:r/>
    </w:p>
    <w:p>
      <w:pPr>
        <w:pStyle w:val="888"/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888"/>
        <w:pBdr/>
        <w:spacing/>
        <w:ind w:right="0" w:firstLine="709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00"/>
        <w:widowControl w:val="true"/>
        <w:pBdr/>
        <w:spacing/>
        <w:ind/>
        <w:jc w:val="both"/>
        <w:rPr/>
      </w:pPr>
      <w:r/>
      <w:r/>
    </w:p>
    <w:tbl>
      <w:tblPr>
        <w:tblInd w:w="0" w:type="dxa"/>
        <w:tblW w:w="5000" w:type="pct"/>
        <w:tblCellMar>
          <w:left w:w="0" w:type="dxa"/>
          <w:top w:w="0" w:type="dxa"/>
          <w:right w:w="0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5199"/>
        <w:gridCol w:w="67"/>
        <w:gridCol w:w="5200"/>
      </w:tblGrid>
      <w:tr>
        <w:trPr>
          <w:trHeight w:val="927"/>
        </w:trPr>
        <w:tc>
          <w:tcPr>
            <w:tcBorders/>
            <w:tcW w:w="5199" w:type="dxa"/>
            <w:textDirection w:val="lrTb"/>
            <w:noWrap w:val="false"/>
          </w:tcPr>
          <w:p>
            <w:pPr>
              <w:pStyle w:val="888"/>
              <w:pBdr/>
              <w:spacing/>
              <w:ind/>
              <w:rPr/>
            </w:pPr>
            <w:r>
              <w:t xml:space="preserve"> </w:t>
            </w:r>
            <w:r/>
          </w:p>
          <w:p>
            <w:pPr>
              <w:pStyle w:val="888"/>
              <w:pBdr/>
              <w:spacing/>
              <w:ind/>
              <w:rPr/>
            </w:pPr>
            <w:r/>
            <w:r/>
          </w:p>
          <w:p>
            <w:pPr>
              <w:pStyle w:val="888"/>
              <w:pBdr/>
              <w:spacing/>
              <w:ind/>
              <w:rPr>
                <w:b/>
                <w:color w:val="00b050"/>
              </w:rPr>
            </w:pPr>
            <w:r>
              <w:rPr>
                <w:b/>
                <w:lang w:val="en-US" w:eastAsia="en-US"/>
              </w:rPr>
              <w:t xml:space="preserve">Финансовый управляющий</w:t>
            </w:r>
            <w:r>
              <w:rPr>
                <w:b/>
                <w:bCs/>
              </w:rPr>
              <w:br/>
            </w:r>
            <w:r>
              <w:rPr>
                <w:rFonts w:cs="Calibri"/>
                <w:b/>
                <w:color w:val="00b050"/>
                <w:lang w:val="en-US"/>
              </w:rPr>
              <w:t xml:space="preserve">{{</w:t>
            </w:r>
            <w:r>
              <w:rPr>
                <w:rFonts w:cs="Calibri"/>
                <w:b/>
                <w:color w:val="00b050"/>
                <w:lang w:val="en-US"/>
              </w:rPr>
              <w:t xml:space="preserve">FullNameGenitive</w:t>
            </w:r>
            <w:r>
              <w:rPr>
                <w:rFonts w:cs="Calibri"/>
                <w:b/>
                <w:color w:val="00b050"/>
                <w:lang w:val="en-US"/>
              </w:rPr>
              <w:t xml:space="preserve">}}</w:t>
            </w:r>
            <w:r>
              <w:rPr>
                <w:b/>
                <w:color w:val="00b050"/>
              </w:rPr>
            </w:r>
            <w:r>
              <w:rPr>
                <w:b/>
                <w:color w:val="00b050"/>
              </w:rPr>
            </w:r>
          </w:p>
        </w:tc>
        <w:tc>
          <w:tcPr>
            <w:tcBorders/>
            <w:tcW w:w="67" w:type="dxa"/>
            <w:vAlign w:val="center"/>
            <w:textDirection w:val="lrTb"/>
            <w:noWrap w:val="false"/>
          </w:tcPr>
          <w:p>
            <w:pPr>
              <w:pStyle w:val="888"/>
              <w:pBdr/>
              <w:spacing/>
              <w:ind/>
              <w:rPr/>
            </w:pPr>
            <w:r>
              <w:t xml:space="preserve"> </w:t>
            </w:r>
            <w:r/>
          </w:p>
        </w:tc>
        <w:tc>
          <w:tcPr>
            <w:tcBorders/>
            <w:tcW w:w="5200" w:type="dxa"/>
            <w:textDirection w:val="lrTb"/>
            <w:noWrap w:val="false"/>
          </w:tcPr>
          <w:p>
            <w:pPr>
              <w:pStyle w:val="901"/>
              <w:pBdr/>
              <w:spacing w:after="240" w:before="240"/>
              <w:ind/>
              <w:jc w:val="right"/>
              <w:rPr>
                <w:b/>
                <w:lang w:val="en-US" w:eastAsia="en-US"/>
              </w:rPr>
            </w:pPr>
            <w:r>
              <w:rPr>
                <w:b/>
                <w:lang w:val="en-US" w:eastAsia="en-US"/>
              </w:rPr>
            </w:r>
            <w:r>
              <w:rPr>
                <w:b/>
                <w:lang w:val="en-US" w:eastAsia="en-US"/>
              </w:rPr>
            </w:r>
            <w:r>
              <w:rPr>
                <w:b/>
                <w:lang w:val="en-US" w:eastAsia="en-US"/>
              </w:rPr>
            </w:r>
          </w:p>
          <w:p>
            <w:pPr>
              <w:pStyle w:val="901"/>
              <w:pBdr/>
              <w:spacing w:after="240" w:before="240"/>
              <w:ind/>
              <w:jc w:val="right"/>
              <w:rPr>
                <w:b/>
                <w:color w:val="18a303" w:themeColor="accent1"/>
              </w:rPr>
            </w:pPr>
            <w:r>
              <w:rPr>
                <w:b/>
                <w:color w:val="18a303" w:themeColor="accent1"/>
                <w:lang w:val="en-US" w:eastAsia="en-US"/>
              </w:rPr>
              <w:t xml:space="preserve">{{</w:t>
            </w:r>
            <w:r>
              <w:rPr>
                <w:b/>
                <w:color w:val="18a303" w:themeColor="accent1"/>
                <w:lang w:val="en-US" w:eastAsia="en-US"/>
              </w:rPr>
              <w:t xml:space="preserve">financialManager</w:t>
            </w:r>
            <w:r>
              <w:rPr>
                <w:b/>
                <w:color w:val="18a303" w:themeColor="accent1"/>
                <w:lang w:val="en-US" w:eastAsia="en-US"/>
              </w:rPr>
              <w:t xml:space="preserve">.</w:t>
            </w:r>
            <w:r>
              <w:rPr>
                <w:b/>
                <w:color w:val="18a303" w:themeColor="accent1"/>
                <w:lang w:val="en-US" w:eastAsia="en-US"/>
              </w:rPr>
              <w:t xml:space="preserve">ShortFio</w:t>
            </w:r>
            <w:r>
              <w:rPr>
                <w:b/>
                <w:color w:val="18a303" w:themeColor="accent1"/>
                <w:lang w:val="en-US" w:eastAsia="en-US"/>
              </w:rPr>
              <w:t xml:space="preserve">}}</w:t>
            </w:r>
            <w:r>
              <w:rPr>
                <w:b/>
                <w:color w:val="18a303" w:themeColor="accent1"/>
              </w:rPr>
            </w:r>
            <w:r>
              <w:rPr>
                <w:b/>
                <w:color w:val="18a303" w:themeColor="accent1"/>
              </w:rPr>
            </w:r>
          </w:p>
        </w:tc>
      </w:tr>
    </w:tbl>
    <w:p>
      <w:pPr>
        <w:pStyle w:val="888"/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720" w:right="720" w:bottom="720" w:left="72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Courier New">
    <w:panose1 w:val="02070309020205020404"/>
  </w:font>
  <w:font w:name="Arial">
    <w:panose1 w:val="020B0604020202020204"/>
  </w:font>
  <w:font w:name="DejaVu Sans">
    <w:panose1 w:val="020B0603030804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pStyle w:val="889"/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3">
    <w:name w:val="Intense Emphasis"/>
    <w:basedOn w:val="90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4">
    <w:name w:val="Intense Reference"/>
    <w:basedOn w:val="90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5">
    <w:name w:val="Subtle Emphasis"/>
    <w:basedOn w:val="90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6">
    <w:name w:val="Emphasis"/>
    <w:basedOn w:val="908"/>
    <w:uiPriority w:val="20"/>
    <w:qFormat/>
    <w:pPr>
      <w:pBdr/>
      <w:spacing/>
      <w:ind/>
    </w:pPr>
    <w:rPr>
      <w:i/>
      <w:iCs/>
    </w:rPr>
  </w:style>
  <w:style w:type="character" w:styleId="707">
    <w:name w:val="Strong"/>
    <w:basedOn w:val="908"/>
    <w:uiPriority w:val="22"/>
    <w:qFormat/>
    <w:pPr>
      <w:pBdr/>
      <w:spacing/>
      <w:ind/>
    </w:pPr>
    <w:rPr>
      <w:b/>
      <w:bCs/>
    </w:rPr>
  </w:style>
  <w:style w:type="character" w:styleId="708">
    <w:name w:val="Subtle Reference"/>
    <w:basedOn w:val="90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9">
    <w:name w:val="Book Title"/>
    <w:basedOn w:val="90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10">
    <w:name w:val="FollowedHyperlink"/>
    <w:basedOn w:val="90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11">
    <w:name w:val="Placeholder Text"/>
    <w:basedOn w:val="908"/>
    <w:uiPriority w:val="99"/>
    <w:semiHidden/>
    <w:pPr>
      <w:pBdr/>
      <w:spacing/>
      <w:ind/>
    </w:pPr>
    <w:rPr>
      <w:color w:val="666666"/>
    </w:rPr>
  </w:style>
  <w:style w:type="character" w:styleId="712">
    <w:name w:val="Heading 1 Char"/>
    <w:link w:val="889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3">
    <w:name w:val="Heading 2"/>
    <w:basedOn w:val="888"/>
    <w:next w:val="888"/>
    <w:link w:val="714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4">
    <w:name w:val="Heading 2 Char"/>
    <w:link w:val="713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5">
    <w:name w:val="Heading 3"/>
    <w:basedOn w:val="888"/>
    <w:next w:val="888"/>
    <w:link w:val="716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6">
    <w:name w:val="Heading 3 Char"/>
    <w:link w:val="715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7">
    <w:name w:val="Heading 4"/>
    <w:basedOn w:val="888"/>
    <w:next w:val="888"/>
    <w:link w:val="718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8">
    <w:name w:val="Heading 4 Char"/>
    <w:link w:val="717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9">
    <w:name w:val="Heading 5"/>
    <w:basedOn w:val="888"/>
    <w:next w:val="888"/>
    <w:link w:val="720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20">
    <w:name w:val="Heading 5 Char"/>
    <w:link w:val="719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1">
    <w:name w:val="Heading 6"/>
    <w:basedOn w:val="888"/>
    <w:next w:val="888"/>
    <w:link w:val="722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2">
    <w:name w:val="Heading 6 Char"/>
    <w:link w:val="721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3">
    <w:name w:val="Heading 7"/>
    <w:basedOn w:val="888"/>
    <w:next w:val="888"/>
    <w:link w:val="724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4">
    <w:name w:val="Heading 7 Char"/>
    <w:link w:val="723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5">
    <w:name w:val="Heading 8"/>
    <w:basedOn w:val="888"/>
    <w:next w:val="888"/>
    <w:link w:val="726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6">
    <w:name w:val="Heading 8 Char"/>
    <w:link w:val="725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7">
    <w:name w:val="Heading 9"/>
    <w:basedOn w:val="888"/>
    <w:next w:val="888"/>
    <w:link w:val="728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8">
    <w:name w:val="Heading 9 Char"/>
    <w:link w:val="727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9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730">
    <w:name w:val="No Spacing"/>
    <w:uiPriority w:val="1"/>
    <w:qFormat/>
    <w:pPr>
      <w:pBdr/>
      <w:spacing w:after="0" w:before="0" w:line="240" w:lineRule="auto"/>
      <w:ind/>
    </w:pPr>
  </w:style>
  <w:style w:type="paragraph" w:styleId="731">
    <w:name w:val="Title"/>
    <w:basedOn w:val="888"/>
    <w:next w:val="888"/>
    <w:link w:val="732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32">
    <w:name w:val="Title Char"/>
    <w:link w:val="731"/>
    <w:uiPriority w:val="10"/>
    <w:pPr>
      <w:pBdr/>
      <w:spacing/>
      <w:ind/>
    </w:pPr>
    <w:rPr>
      <w:sz w:val="48"/>
      <w:szCs w:val="48"/>
    </w:rPr>
  </w:style>
  <w:style w:type="paragraph" w:styleId="733">
    <w:name w:val="Subtitle"/>
    <w:basedOn w:val="888"/>
    <w:next w:val="888"/>
    <w:link w:val="734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4">
    <w:name w:val="Subtitle Char"/>
    <w:link w:val="733"/>
    <w:uiPriority w:val="11"/>
    <w:pPr>
      <w:pBdr/>
      <w:spacing/>
      <w:ind/>
    </w:pPr>
    <w:rPr>
      <w:sz w:val="24"/>
      <w:szCs w:val="24"/>
    </w:rPr>
  </w:style>
  <w:style w:type="paragraph" w:styleId="735">
    <w:name w:val="Quote"/>
    <w:basedOn w:val="888"/>
    <w:next w:val="888"/>
    <w:link w:val="736"/>
    <w:uiPriority w:val="29"/>
    <w:qFormat/>
    <w:pPr>
      <w:pBdr/>
      <w:spacing/>
      <w:ind w:right="720" w:left="720"/>
    </w:pPr>
    <w:rPr>
      <w:i/>
    </w:rPr>
  </w:style>
  <w:style w:type="character" w:styleId="736">
    <w:name w:val="Quote Char"/>
    <w:link w:val="735"/>
    <w:uiPriority w:val="29"/>
    <w:pPr>
      <w:pBdr/>
      <w:spacing/>
      <w:ind/>
    </w:pPr>
    <w:rPr>
      <w:i/>
    </w:rPr>
  </w:style>
  <w:style w:type="paragraph" w:styleId="737">
    <w:name w:val="Intense Quote"/>
    <w:basedOn w:val="888"/>
    <w:next w:val="888"/>
    <w:link w:val="738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8">
    <w:name w:val="Intense Quote Char"/>
    <w:link w:val="737"/>
    <w:uiPriority w:val="30"/>
    <w:pPr>
      <w:pBdr/>
      <w:spacing/>
      <w:ind/>
    </w:pPr>
    <w:rPr>
      <w:i/>
    </w:rPr>
  </w:style>
  <w:style w:type="paragraph" w:styleId="739">
    <w:name w:val="Header"/>
    <w:basedOn w:val="888"/>
    <w:link w:val="740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0">
    <w:name w:val="Header Char"/>
    <w:link w:val="739"/>
    <w:uiPriority w:val="99"/>
    <w:pPr>
      <w:pBdr/>
      <w:spacing/>
      <w:ind/>
    </w:pPr>
  </w:style>
  <w:style w:type="paragraph" w:styleId="741">
    <w:name w:val="Footer"/>
    <w:basedOn w:val="888"/>
    <w:link w:val="7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2">
    <w:name w:val="Footer Char"/>
    <w:link w:val="741"/>
    <w:uiPriority w:val="99"/>
    <w:pPr>
      <w:pBdr/>
      <w:spacing/>
      <w:ind/>
    </w:pPr>
  </w:style>
  <w:style w:type="character" w:styleId="743">
    <w:name w:val="Caption Char"/>
    <w:basedOn w:val="898"/>
    <w:link w:val="741"/>
    <w:uiPriority w:val="99"/>
    <w:pPr>
      <w:pBdr/>
      <w:spacing/>
      <w:ind/>
    </w:pPr>
  </w:style>
  <w:style w:type="table" w:styleId="744">
    <w:name w:val="Table Grid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Table Grid Light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dbc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dbc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d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9fb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9fb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ce7fd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8fb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8fb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dd2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b99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b99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3bafd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464fb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464fb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efbf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b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b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7cccc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8f8f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8f8f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ebf04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22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457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dba" w:themeFill="accent1" w:themeFillTint="34"/>
        <w:tcBorders/>
      </w:tcPr>
    </w:tblStylePr>
    <w:tblStylePr w:type="band2Horz">
      <w:rPr>
        <w:rFonts w:ascii="Arial" w:hAnsi="Arial"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ebf04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ebf04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Horz">
      <w:rPr>
        <w:rFonts w:ascii="Arial" w:hAnsi="Arial"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22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e22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Horz">
      <w:rPr>
        <w:rFonts w:ascii="Arial" w:hAnsi="Arial"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457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57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Horz">
      <w:rPr>
        <w:rFonts w:ascii="Arial" w:hAnsi="Arial"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41111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41111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6b8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a7a35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a7a35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dc33fa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042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042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6e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6e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e01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378ae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b3b04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104ab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a87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1a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6fdaa" w:themeFill="accent1" w:themeFillTint="40"/>
        <w:tcBorders/>
      </w:tcPr>
    </w:tblStylePr>
    <w:tblStylePr w:type="band2Horz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e01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e01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e1fd" w:themeFill="accent2" w:themeFillTint="40"/>
        <w:tcBorders/>
      </w:tcPr>
    </w:tblStylePr>
    <w:tblStylePr w:type="band2Horz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378ae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7aa" w:themeFill="accent3" w:themeFillTint="40"/>
        <w:tcBorders/>
      </w:tcPr>
    </w:tblStylePr>
    <w:tblStylePr w:type="band2Horz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b3b04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0aafd" w:themeFill="accent4" w:themeFillTint="40"/>
        <w:tcBorders/>
      </w:tcPr>
    </w:tblStylePr>
    <w:tblStylePr w:type="band2Horz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104ab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bb1" w:themeFill="accent5" w:themeFillTint="40"/>
        <w:tcBorders/>
      </w:tcPr>
    </w:tblStylePr>
    <w:tblStylePr w:type="band2Horz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a87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5c2c2" w:themeFill="accent6" w:themeFillTint="40"/>
        <w:tcBorders/>
      </w:tcPr>
    </w:tblStylePr>
    <w:tblStylePr w:type="band2Horz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d1a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c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ebe03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ce7fd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6b8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dd2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c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3bafd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dc33fa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efbf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7cccc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71">
    <w:name w:val="footnote text"/>
    <w:basedOn w:val="888"/>
    <w:link w:val="87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2">
    <w:name w:val="Footnote Text Char"/>
    <w:link w:val="871"/>
    <w:uiPriority w:val="99"/>
    <w:pPr>
      <w:pBdr/>
      <w:spacing/>
      <w:ind/>
    </w:pPr>
    <w:rPr>
      <w:sz w:val="18"/>
    </w:rPr>
  </w:style>
  <w:style w:type="character" w:styleId="873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88"/>
    <w:link w:val="87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5">
    <w:name w:val="Endnote Text Char"/>
    <w:link w:val="874"/>
    <w:uiPriority w:val="99"/>
    <w:pPr>
      <w:pBdr/>
      <w:spacing/>
      <w:ind/>
    </w:pPr>
    <w:rPr>
      <w:sz w:val="20"/>
    </w:rPr>
  </w:style>
  <w:style w:type="character" w:styleId="87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toc 1"/>
    <w:basedOn w:val="888"/>
    <w:next w:val="888"/>
    <w:uiPriority w:val="39"/>
    <w:unhideWhenUsed/>
    <w:pPr>
      <w:pBdr/>
      <w:spacing w:after="57"/>
      <w:ind w:right="0" w:firstLine="0" w:left="0"/>
    </w:pPr>
  </w:style>
  <w:style w:type="paragraph" w:styleId="878">
    <w:name w:val="toc 2"/>
    <w:basedOn w:val="888"/>
    <w:next w:val="888"/>
    <w:uiPriority w:val="39"/>
    <w:unhideWhenUsed/>
    <w:pPr>
      <w:pBdr/>
      <w:spacing w:after="57"/>
      <w:ind w:right="0" w:firstLine="0" w:left="283"/>
    </w:pPr>
  </w:style>
  <w:style w:type="paragraph" w:styleId="879">
    <w:name w:val="toc 3"/>
    <w:basedOn w:val="888"/>
    <w:next w:val="888"/>
    <w:uiPriority w:val="39"/>
    <w:unhideWhenUsed/>
    <w:pPr>
      <w:pBdr/>
      <w:spacing w:after="57"/>
      <w:ind w:right="0" w:firstLine="0" w:left="567"/>
    </w:pPr>
  </w:style>
  <w:style w:type="paragraph" w:styleId="880">
    <w:name w:val="toc 4"/>
    <w:basedOn w:val="888"/>
    <w:next w:val="888"/>
    <w:uiPriority w:val="39"/>
    <w:unhideWhenUsed/>
    <w:pPr>
      <w:pBdr/>
      <w:spacing w:after="57"/>
      <w:ind w:right="0" w:firstLine="0" w:left="850"/>
    </w:pPr>
  </w:style>
  <w:style w:type="paragraph" w:styleId="881">
    <w:name w:val="toc 5"/>
    <w:basedOn w:val="888"/>
    <w:next w:val="888"/>
    <w:uiPriority w:val="39"/>
    <w:unhideWhenUsed/>
    <w:pPr>
      <w:pBdr/>
      <w:spacing w:after="57"/>
      <w:ind w:right="0" w:firstLine="0" w:left="1134"/>
    </w:pPr>
  </w:style>
  <w:style w:type="paragraph" w:styleId="882">
    <w:name w:val="toc 6"/>
    <w:basedOn w:val="888"/>
    <w:next w:val="888"/>
    <w:uiPriority w:val="39"/>
    <w:unhideWhenUsed/>
    <w:pPr>
      <w:pBdr/>
      <w:spacing w:after="57"/>
      <w:ind w:right="0" w:firstLine="0" w:left="1417"/>
    </w:pPr>
  </w:style>
  <w:style w:type="paragraph" w:styleId="883">
    <w:name w:val="toc 7"/>
    <w:basedOn w:val="888"/>
    <w:next w:val="888"/>
    <w:uiPriority w:val="39"/>
    <w:unhideWhenUsed/>
    <w:pPr>
      <w:pBdr/>
      <w:spacing w:after="57"/>
      <w:ind w:right="0" w:firstLine="0" w:left="1701"/>
    </w:pPr>
  </w:style>
  <w:style w:type="paragraph" w:styleId="884">
    <w:name w:val="toc 8"/>
    <w:basedOn w:val="888"/>
    <w:next w:val="888"/>
    <w:uiPriority w:val="39"/>
    <w:unhideWhenUsed/>
    <w:pPr>
      <w:pBdr/>
      <w:spacing w:after="57"/>
      <w:ind w:right="0" w:firstLine="0" w:left="1984"/>
    </w:pPr>
  </w:style>
  <w:style w:type="paragraph" w:styleId="885">
    <w:name w:val="toc 9"/>
    <w:basedOn w:val="888"/>
    <w:next w:val="888"/>
    <w:uiPriority w:val="39"/>
    <w:unhideWhenUsed/>
    <w:pPr>
      <w:pBdr/>
      <w:spacing w:after="57"/>
      <w:ind w:right="0" w:firstLine="0" w:left="2268"/>
    </w:p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widowControl w:val="true"/>
      <w:pBdr/>
      <w:spacing/>
      <w:ind/>
    </w:pPr>
    <w:rPr>
      <w:rFonts w:ascii="Times New Roman" w:hAnsi="Times New Roman" w:eastAsia="Times New Roman" w:cs="Times New Roman"/>
      <w:color w:val="auto"/>
      <w:sz w:val="24"/>
      <w:szCs w:val="24"/>
      <w:lang w:val="ru-RU" w:eastAsia="zh-CN" w:bidi="ar-SA"/>
    </w:rPr>
  </w:style>
  <w:style w:type="paragraph" w:styleId="889">
    <w:name w:val="Heading 1"/>
    <w:basedOn w:val="888"/>
    <w:next w:val="896"/>
    <w:qFormat/>
    <w:pPr>
      <w:numPr>
        <w:ilvl w:val="0"/>
        <w:numId w:val="1"/>
      </w:numPr>
      <w:pBdr/>
      <w:spacing w:after="280" w:before="280"/>
      <w:ind/>
      <w:outlineLvl w:val="0"/>
    </w:pPr>
    <w:rPr>
      <w:b/>
      <w:bCs/>
      <w:sz w:val="48"/>
      <w:szCs w:val="48"/>
      <w:lang w:val="en-US"/>
    </w:rPr>
  </w:style>
  <w:style w:type="character" w:styleId="890">
    <w:name w:val="WW8Num1z0"/>
    <w:qFormat/>
    <w:pPr>
      <w:pBdr/>
      <w:spacing/>
      <w:ind/>
    </w:pPr>
  </w:style>
  <w:style w:type="character" w:styleId="891">
    <w:name w:val="WW8Num2z0"/>
    <w:qFormat/>
    <w:pPr>
      <w:pBdr/>
      <w:spacing/>
      <w:ind/>
    </w:pPr>
  </w:style>
  <w:style w:type="character" w:styleId="892">
    <w:name w:val="Основной шрифт абзаца"/>
    <w:qFormat/>
    <w:pPr>
      <w:pBdr/>
      <w:spacing/>
      <w:ind/>
    </w:pPr>
  </w:style>
  <w:style w:type="character" w:styleId="893">
    <w:name w:val="Заголовок 1 Знак"/>
    <w:qFormat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</w:rPr>
  </w:style>
  <w:style w:type="character" w:styleId="894">
    <w:name w:val="js-case-header-case_num"/>
    <w:basedOn w:val="892"/>
    <w:qFormat/>
    <w:pPr>
      <w:pBdr/>
      <w:spacing/>
      <w:ind/>
    </w:pPr>
  </w:style>
  <w:style w:type="paragraph" w:styleId="895">
    <w:name w:val="Heading"/>
    <w:basedOn w:val="888"/>
    <w:next w:val="896"/>
    <w:qFormat/>
    <w:pPr>
      <w:keepNext w:val="true"/>
      <w:pBdr/>
      <w:spacing w:after="120" w:before="240"/>
      <w:ind/>
    </w:pPr>
    <w:rPr>
      <w:rFonts w:ascii="Arial" w:hAnsi="Arial" w:eastAsia="DejaVu Sans" w:cs="DejaVu Sans"/>
      <w:sz w:val="28"/>
      <w:szCs w:val="28"/>
    </w:rPr>
  </w:style>
  <w:style w:type="paragraph" w:styleId="896">
    <w:name w:val="Body Text"/>
    <w:basedOn w:val="888"/>
    <w:pPr>
      <w:pBdr/>
      <w:spacing w:after="140" w:before="0" w:line="276" w:lineRule="auto"/>
      <w:ind/>
    </w:pPr>
  </w:style>
  <w:style w:type="paragraph" w:styleId="897">
    <w:name w:val="List"/>
    <w:basedOn w:val="896"/>
    <w:pPr>
      <w:pBdr/>
      <w:spacing/>
      <w:ind/>
    </w:pPr>
  </w:style>
  <w:style w:type="paragraph" w:styleId="898">
    <w:name w:val="Caption"/>
    <w:basedOn w:val="888"/>
    <w:qFormat/>
    <w:pPr>
      <w:suppressLineNumbers w:val="true"/>
      <w:pBdr/>
      <w:spacing w:after="120" w:before="120"/>
      <w:ind/>
    </w:pPr>
    <w:rPr>
      <w:i/>
      <w:iCs/>
      <w:sz w:val="24"/>
      <w:szCs w:val="24"/>
    </w:rPr>
  </w:style>
  <w:style w:type="paragraph" w:styleId="899">
    <w:name w:val="Index"/>
    <w:basedOn w:val="888"/>
    <w:qFormat/>
    <w:pPr>
      <w:suppressLineNumbers w:val="true"/>
      <w:pBdr/>
      <w:spacing/>
      <w:ind/>
    </w:pPr>
  </w:style>
  <w:style w:type="paragraph" w:styleId="900">
    <w:name w:val="ConsPlusNonformat"/>
    <w:qFormat/>
    <w:pPr>
      <w:widowControl w:val="false"/>
      <w:pBdr/>
      <w:spacing/>
      <w:ind/>
    </w:pPr>
    <w:rPr>
      <w:rFonts w:ascii="Courier New" w:hAnsi="Courier New" w:eastAsia="Times New Roman" w:cs="Courier New"/>
      <w:color w:val="auto"/>
      <w:sz w:val="20"/>
      <w:szCs w:val="20"/>
      <w:lang w:val="ru-RU" w:eastAsia="zh-CN" w:bidi="ar-SA"/>
    </w:rPr>
  </w:style>
  <w:style w:type="paragraph" w:styleId="901">
    <w:name w:val="Обычный (Интернет)"/>
    <w:basedOn w:val="888"/>
    <w:qFormat/>
    <w:pPr>
      <w:pBdr/>
      <w:spacing w:after="240" w:before="240"/>
      <w:ind/>
    </w:pPr>
  </w:style>
  <w:style w:type="paragraph" w:styleId="902">
    <w:name w:val="ConsPlusNormal"/>
    <w:qFormat/>
    <w:pPr>
      <w:widowControl w:val="true"/>
      <w:pBdr/>
      <w:spacing/>
      <w:ind/>
    </w:pPr>
    <w:rPr>
      <w:rFonts w:ascii="Arial" w:hAnsi="Arial" w:eastAsia="Calibri" w:cs="Arial"/>
      <w:color w:val="auto"/>
      <w:sz w:val="20"/>
      <w:szCs w:val="20"/>
      <w:lang w:val="ru-RU" w:eastAsia="zh-CN" w:bidi="ar-SA"/>
    </w:rPr>
  </w:style>
  <w:style w:type="paragraph" w:styleId="903">
    <w:name w:val="Абзац списка"/>
    <w:basedOn w:val="888"/>
    <w:qFormat/>
    <w:pPr>
      <w:pBdr/>
      <w:spacing w:after="160" w:before="0" w:line="256" w:lineRule="auto"/>
      <w:ind w:right="0" w:firstLine="0" w:left="720"/>
      <w:contextualSpacing w:val="true"/>
    </w:pPr>
    <w:rPr>
      <w:rFonts w:ascii="Calibri" w:hAnsi="Calibri" w:eastAsia="Calibri" w:cs="Calibri"/>
      <w:sz w:val="22"/>
      <w:szCs w:val="22"/>
    </w:rPr>
  </w:style>
  <w:style w:type="paragraph" w:styleId="904">
    <w:name w:val="Table Contents"/>
    <w:basedOn w:val="888"/>
    <w:qFormat/>
    <w:pPr>
      <w:widowControl w:val="false"/>
      <w:suppressLineNumbers w:val="true"/>
      <w:pBdr/>
      <w:spacing/>
      <w:ind/>
    </w:pPr>
  </w:style>
  <w:style w:type="paragraph" w:styleId="905">
    <w:name w:val="Table Heading"/>
    <w:basedOn w:val="904"/>
    <w:qFormat/>
    <w:pPr>
      <w:suppressLineNumbers w:val="true"/>
      <w:pBdr/>
      <w:spacing/>
      <w:ind/>
      <w:jc w:val="center"/>
    </w:pPr>
    <w:rPr>
      <w:b/>
      <w:bCs/>
    </w:rPr>
  </w:style>
  <w:style w:type="numbering" w:styleId="906">
    <w:name w:val="WW8Num1"/>
    <w:qFormat/>
    <w:pPr>
      <w:pBdr/>
      <w:spacing/>
      <w:ind/>
    </w:pPr>
  </w:style>
  <w:style w:type="numbering" w:styleId="907">
    <w:name w:val="WW8Num2"/>
    <w:qFormat/>
    <w:pPr>
      <w:pBdr/>
      <w:spacing/>
      <w:ind/>
    </w:pPr>
  </w:style>
  <w:style w:type="character" w:styleId="908" w:default="1">
    <w:name w:val="Default Paragraph Font"/>
    <w:uiPriority w:val="1"/>
    <w:semiHidden/>
    <w:unhideWhenUsed/>
    <w:pPr>
      <w:pBdr/>
      <w:spacing/>
      <w:ind/>
    </w:pPr>
  </w:style>
  <w:style w:type="numbering" w:styleId="909" w:default="1">
    <w:name w:val="No List"/>
    <w:uiPriority w:val="99"/>
    <w:semiHidden/>
    <w:unhideWhenUsed/>
    <w:pPr>
      <w:pBdr/>
      <w:spacing/>
      <w:ind/>
    </w:pPr>
  </w:style>
  <w:style w:type="table" w:styleId="910" w:default="1">
    <w:name w:val="Normal Table"/>
    <w:uiPriority w:val="99"/>
    <w:semiHidden/>
    <w:unhideWhenUsed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Низамов</dc:creator>
  <cp:keywords/>
  <dc:description/>
  <dc:language>en-US</dc:language>
  <cp:revision>11</cp:revision>
  <dcterms:created xsi:type="dcterms:W3CDTF">2025-08-15T15:00:00Z</dcterms:created>
  <dcterms:modified xsi:type="dcterms:W3CDTF">2025-12-28T18:54:47Z</dcterms:modified>
</cp:coreProperties>
</file>