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ayout w:type="fixed"/>
        <w:tblLook w:val="0000" w:firstRow="0" w:lastRow="0" w:firstColumn="0" w:lastColumn="0" w:noHBand="0" w:noVBand="0"/>
      </w:tblPr>
      <w:tblGrid>
        <w:gridCol w:w="9571"/>
      </w:tblGrid>
      <w:tr>
        <w:trPr>
          <w:jc w:val="center"/>
        </w:trPr>
        <w:tc>
          <w:tcPr>
            <w:tcBorders>
              <w:bottom w:val="single" w:color="auto" w:sz="4" w:space="0"/>
            </w:tcBorders>
            <w:tcMar>
              <w:top w:w="200" w:type="dxa"/>
              <w:bottom w:w="140" w:type="dxa"/>
            </w:tcMar>
            <w:tcW w:w="95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70ad47" w:themeColor="accent6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Финансовый </w:t>
            </w:r>
            <w:r>
              <w:rPr>
                <w:sz w:val="21"/>
                <w:szCs w:val="21"/>
              </w:rPr>
              <w:t xml:space="preserve">управляющий</w:t>
            </w:r>
            <w:r>
              <w:rPr>
                <w:sz w:val="21"/>
                <w:szCs w:val="21"/>
                <w:lang w:val="en-US"/>
              </w:rPr>
              <w:t xml:space="preserve"> </w:t>
            </w:r>
            <w:r>
              <w:rPr>
                <w:color w:val="00b050"/>
                <w:sz w:val="21"/>
                <w:szCs w:val="21"/>
                <w:lang w:val="en-US"/>
              </w:rPr>
              <w:t xml:space="preserve">{{</w:t>
            </w:r>
            <w:r>
              <w:rPr>
                <w:color w:val="00b050"/>
                <w:sz w:val="21"/>
                <w:szCs w:val="21"/>
                <w:lang w:val="en-US"/>
              </w:rPr>
              <w:t xml:space="preserve">FullNameGenitive</w:t>
            </w:r>
            <w:r>
              <w:rPr>
                <w:color w:val="00b050"/>
                <w:sz w:val="21"/>
                <w:szCs w:val="21"/>
                <w:lang w:val="en-US"/>
              </w:rPr>
              <w:t xml:space="preserve">}}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color w:val="70ad47" w:themeColor="accent6"/>
                <w:sz w:val="21"/>
                <w:szCs w:val="21"/>
              </w:rPr>
              <w:t xml:space="preserve">{{financialManager.fio}}</w:t>
            </w:r>
            <w:r>
              <w:rPr>
                <w:color w:val="70ad47" w:themeColor="accent6"/>
                <w:sz w:val="21"/>
                <w:szCs w:val="21"/>
              </w:rPr>
            </w:r>
            <w:r>
              <w:rPr>
                <w:color w:val="70ad47" w:themeColor="accent6"/>
                <w:sz w:val="21"/>
                <w:szCs w:val="21"/>
              </w:rPr>
            </w:r>
          </w:p>
        </w:tc>
      </w:tr>
      <w:tr>
        <w:trPr>
          <w:jc w:val="center"/>
        </w:trPr>
        <w:tc>
          <w:tcPr>
            <w:tcBorders>
              <w:top w:val="single" w:color="auto" w:sz="4" w:space="0"/>
            </w:tcBorders>
            <w:tcMar>
              <w:top w:w="140" w:type="dxa"/>
              <w:bottom w:w="400" w:type="dxa"/>
            </w:tcMar>
            <w:tcW w:w="957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</w:tc>
      </w:tr>
    </w:tbl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Уведомление о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введении реализации имущества гражданина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jc w:val="both"/>
        <w:rPr>
          <w:color w:val="00b050"/>
        </w:rPr>
      </w:pP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startNotificationText</w:t>
      </w:r>
      <w:r>
        <w:rPr>
          <w:color w:val="00b050"/>
          <w:lang w:val="en-US"/>
        </w:rPr>
        <w:t xml:space="preserve">}}</w:t>
      </w:r>
      <w:r>
        <w:rPr>
          <w:color w:val="00b050"/>
        </w:rPr>
      </w:r>
      <w:r>
        <w:rPr>
          <w:color w:val="00b050"/>
        </w:rPr>
      </w:r>
    </w:p>
    <w:p>
      <w:pPr>
        <w:pBdr/>
        <w:spacing/>
        <w:ind/>
        <w:jc w:val="both"/>
        <w:rPr>
          <w:color w:val="000000"/>
        </w:rPr>
      </w:pPr>
      <w:r>
        <w:t xml:space="preserve">Финансовым управляющим утвержден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FinancialManagerInfo</w:t>
      </w:r>
      <w:r>
        <w:rPr>
          <w:color w:val="00b050"/>
          <w:lang w:val="en-US"/>
        </w:rPr>
        <w:t xml:space="preserve">}}</w:t>
      </w:r>
      <w:r>
        <w:t xml:space="preserve">.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jc w:val="both"/>
        <w:rPr>
          <w:i/>
        </w:rPr>
      </w:pPr>
      <w:r>
        <w:t xml:space="preserve">По имеющейся у финансового управляющего информации Вы являетесь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spouse</w:t>
      </w:r>
      <w:r>
        <w:rPr>
          <w:color w:val="00b050"/>
          <w:lang w:val="en-US"/>
        </w:rPr>
        <w:t xml:space="preserve">}}</w:t>
      </w:r>
      <w:r>
        <w:rPr>
          <w:color w:val="00b050"/>
        </w:rPr>
        <w:t xml:space="preserve">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FullNameGenitive</w:t>
      </w:r>
      <w:r>
        <w:rPr>
          <w:color w:val="00b050"/>
          <w:lang w:val="en-US"/>
        </w:rPr>
        <w:t xml:space="preserve">}}</w:t>
      </w:r>
      <w:r>
        <w:t xml:space="preserve">.</w:t>
      </w:r>
      <w:r>
        <w:rPr>
          <w:i/>
        </w:rPr>
      </w:r>
      <w:r>
        <w:rPr>
          <w:i/>
        </w:rPr>
      </w:r>
    </w:p>
    <w:p>
      <w:pPr>
        <w:pBdr/>
        <w:spacing/>
        <w:ind/>
        <w:jc w:val="both"/>
        <w:rPr/>
      </w:pPr>
      <w:r>
        <w:t xml:space="preserve">В силу ст</w:t>
      </w:r>
      <w:r>
        <w:t xml:space="preserve">атьи 34 и пункта 6 статьи 213.1 Закона о банкротстве супруг (бывший супруг) должника является участником дела о банкротстве и вправе на любой стадии процесса принять участие в рассмотрении как основного дела о банкротстве, так и любого обособленного спора.</w:t>
      </w:r>
      <w:r/>
    </w:p>
    <w:p>
      <w:pPr>
        <w:pBdr/>
        <w:spacing/>
        <w:ind/>
        <w:jc w:val="both"/>
        <w:rPr/>
      </w:pPr>
      <w:r>
        <w:t xml:space="preserve">По общему правилу, участником дела о банкротстве выступает бывший супруг должника, имущественные пр</w:t>
      </w:r>
      <w:r>
        <w:t xml:space="preserve">ава и законные интересы которого могут быть затронуты при рассмотрении дела о банкротстве, например, бывший супруг, с которым не был произведен раздел имущества или с которым должник состоял в браке в период формирования задолженности, включенной в реестр;</w:t>
      </w:r>
      <w:r>
        <w:t xml:space="preserve"> супруг, совершивший сделки с общим имуществом в течение трех лет до принятия заявления о признании должника банкротом; супруг, являющийся кредитором или представляющий кредитора по алиментному обязательству</w:t>
      </w:r>
      <w:r>
        <w:t xml:space="preserve">.</w:t>
      </w:r>
      <w:r/>
    </w:p>
    <w:p>
      <w:pPr>
        <w:pBdr/>
        <w:spacing/>
        <w:ind/>
        <w:jc w:val="both"/>
        <w:rPr/>
      </w:pPr>
      <w:r>
        <w:t xml:space="preserve">Докум</w:t>
      </w:r>
      <w:r>
        <w:t xml:space="preserve">енты и информацию для финансового</w:t>
      </w:r>
      <w:r>
        <w:t xml:space="preserve"> управляющего прошу направ</w:t>
      </w:r>
      <w:r>
        <w:t xml:space="preserve">ля</w:t>
      </w:r>
      <w:r>
        <w:t xml:space="preserve">ть по адресу: </w:t>
      </w:r>
      <w:r>
        <w:t xml:space="preserve">       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correspondenceAddress</w:t>
      </w:r>
      <w:r>
        <w:rPr>
          <w:color w:val="00b050"/>
          <w:lang w:val="en-US"/>
        </w:rPr>
        <w:t xml:space="preserve">}}</w:t>
      </w:r>
      <w:r>
        <w:t xml:space="preserve">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Приложение: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95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Копия</w:t>
      </w:r>
      <w:r>
        <w:rPr>
          <w:sz w:val="20"/>
          <w:szCs w:val="20"/>
          <w:lang w:val="en-US"/>
        </w:rPr>
        <w:t xml:space="preserve"> </w:t>
      </w:r>
      <w:r>
        <w:rPr>
          <w:color w:val="00b050"/>
          <w:sz w:val="20"/>
          <w:szCs w:val="20"/>
          <w:lang w:val="en-US"/>
        </w:rPr>
        <w:t xml:space="preserve">{{</w:t>
      </w:r>
      <w:r>
        <w:rPr>
          <w:color w:val="00b050"/>
          <w:sz w:val="20"/>
          <w:szCs w:val="20"/>
          <w:lang w:val="en-US"/>
        </w:rPr>
        <w:t xml:space="preserve">resolutionPart</w:t>
      </w:r>
      <w:r>
        <w:rPr>
          <w:color w:val="00b050"/>
          <w:sz w:val="20"/>
          <w:szCs w:val="20"/>
          <w:lang w:val="en-US"/>
        </w:rPr>
        <w:t xml:space="preserve">}}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 w:eastAsia="en-US"/>
        </w:rPr>
        <w:t xml:space="preserve">решения Арбитражного суда </w:t>
      </w:r>
      <w:r>
        <w:rPr>
          <w:color w:val="00b050"/>
          <w:sz w:val="20"/>
          <w:szCs w:val="20"/>
          <w:lang w:val="en-US" w:eastAsia="en-US"/>
        </w:rPr>
        <w:t xml:space="preserve">{{court.shortName}}</w:t>
      </w:r>
      <w:r>
        <w:rPr>
          <w:sz w:val="20"/>
          <w:szCs w:val="20"/>
          <w:lang w:val="en-US" w:eastAsia="en-US"/>
        </w:rPr>
        <w:t xml:space="preserve"> от 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{{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procedureInitiationDateForPublication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}}</w:t>
      </w:r>
      <w:r>
        <w:rPr>
          <w:sz w:val="20"/>
          <w:szCs w:val="20"/>
          <w:lang w:val="en-US" w:eastAsia="en-US"/>
        </w:rPr>
        <w:t xml:space="preserve"> по делу № </w:t>
      </w:r>
      <w:r>
        <w:rPr>
          <w:color w:val="00b050"/>
          <w:sz w:val="20"/>
          <w:szCs w:val="20"/>
          <w:lang w:val="en-US" w:eastAsia="en-US"/>
        </w:rPr>
        <w:t xml:space="preserve">{{</w:t>
      </w:r>
      <w:r>
        <w:rPr>
          <w:color w:val="00b050"/>
          <w:sz w:val="20"/>
          <w:szCs w:val="20"/>
          <w:lang w:val="en-US" w:eastAsia="en-US"/>
        </w:rPr>
        <w:t xml:space="preserve">CaseNumber</w:t>
      </w:r>
      <w:r>
        <w:rPr>
          <w:color w:val="00b050"/>
          <w:sz w:val="20"/>
          <w:szCs w:val="20"/>
          <w:lang w:val="en-US" w:eastAsia="en-US"/>
        </w:rPr>
        <w:t xml:space="preserve">}}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tbl>
      <w:tblPr>
        <w:tblW w:w="5000" w:type="pct"/>
        <w:tblCellMar>
          <w:left w:w="0" w:type="dxa"/>
          <w:right w:w="0" w:type="dxa"/>
        </w:tblCellMar>
        <w:tblBorders/>
        <w:tblCellSpacing w:w="0" w:type="dxa"/>
        <w:tblLook w:val="04A0" w:firstRow="1" w:lastRow="0" w:firstColumn="1" w:lastColumn="0" w:noHBand="0" w:noVBand="1"/>
      </w:tblPr>
      <w:tblGrid>
        <w:gridCol w:w="5199"/>
        <w:gridCol w:w="67"/>
        <w:gridCol w:w="5200"/>
      </w:tblGrid>
      <w:tr>
        <w:trPr>
          <w:tblCellSpacing w:w="0" w:type="dxa"/>
        </w:trPr>
        <w:tc>
          <w:tcPr>
            <w:tcBorders/>
            <w:tcW w:w="2484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Финансовый управляющий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color w:val="00b050"/>
                <w:lang w:val="en-US"/>
              </w:rPr>
              <w:t xml:space="preserve">{{</w:t>
            </w:r>
            <w:r>
              <w:rPr>
                <w:b/>
                <w:bCs/>
                <w:color w:val="00b050"/>
                <w:lang w:val="en-US"/>
              </w:rPr>
              <w:t xml:space="preserve">FullNameGenitive</w:t>
            </w:r>
            <w:r>
              <w:rPr>
                <w:b/>
                <w:bCs/>
                <w:color w:val="00b050"/>
                <w:lang w:val="en-US"/>
              </w:rPr>
              <w:t xml:space="preserve">}}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 </w:t>
            </w:r>
            <w:r/>
          </w:p>
        </w:tc>
        <w:tc>
          <w:tcPr>
            <w:tcBorders/>
            <w:tcW w:w="2484" w:type="pct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10160</wp:posOffset>
                      </wp:positionV>
                      <wp:extent cx="1181100" cy="447675"/>
                      <wp:effectExtent l="0" t="0" r="0" b="0"/>
                      <wp:wrapNone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81099" cy="447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text;margin-left:8.20pt;mso-position-horizontal:absolute;mso-position-vertical-relative:text;margin-top:0.80pt;mso-position-vertical:absolute;width:93.00pt;height:35.25pt;mso-wrap-distance-left:9.00pt;mso-wrap-distance-top:0.00pt;mso-wrap-distance-right:9.00pt;mso-wrap-distance-bottom:0.00pt;z-index:1;" stroked="f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  <w:t xml:space="preserve">   </w:t>
            </w:r>
            <w:r>
              <w:rPr>
                <w:b/>
                <w:color w:val="00b050"/>
                <w:lang w:val="en-US"/>
              </w:rPr>
              <w:t xml:space="preserve">{{</w:t>
            </w:r>
            <w:r>
              <w:rPr>
                <w:b/>
                <w:color w:val="00b050"/>
                <w:lang w:val="en-US"/>
              </w:rPr>
              <w:t xml:space="preserve">financialManager</w:t>
            </w:r>
            <w:r>
              <w:rPr>
                <w:b/>
                <w:color w:val="00b050"/>
                <w:lang w:val="en-US"/>
              </w:rPr>
              <w:t xml:space="preserve">.</w:t>
            </w:r>
            <w:r>
              <w:rPr>
                <w:b/>
                <w:color w:val="00b050"/>
                <w:lang w:val="en-US"/>
              </w:rPr>
              <w:t xml:space="preserve">ShortFio</w:t>
            </w:r>
            <w:r>
              <w:rPr>
                <w:b/>
                <w:color w:val="00b050"/>
                <w:lang w:val="en-US"/>
              </w:rPr>
              <w:t xml:space="preserve">}}</w:t>
            </w:r>
            <w:r>
              <w:rPr>
                <w:b/>
              </w:rPr>
              <w:t xml:space="preserve"> 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30202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cs="Times New Roman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>
        <w:rFonts w:cs="Times New Roman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Calibr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7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8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9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10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711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712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13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4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15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716">
    <w:name w:val="Heading 1"/>
    <w:basedOn w:val="891"/>
    <w:next w:val="891"/>
    <w:link w:val="717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7">
    <w:name w:val="Heading 1 Char"/>
    <w:basedOn w:val="892"/>
    <w:link w:val="71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8">
    <w:name w:val="Heading 2"/>
    <w:basedOn w:val="891"/>
    <w:next w:val="891"/>
    <w:link w:val="719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9">
    <w:name w:val="Heading 2 Char"/>
    <w:basedOn w:val="892"/>
    <w:link w:val="718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20">
    <w:name w:val="Heading 3"/>
    <w:basedOn w:val="891"/>
    <w:next w:val="891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21">
    <w:name w:val="Heading 3 Char"/>
    <w:basedOn w:val="892"/>
    <w:link w:val="72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22">
    <w:name w:val="Heading 4"/>
    <w:basedOn w:val="891"/>
    <w:next w:val="891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3">
    <w:name w:val="Heading 4 Char"/>
    <w:basedOn w:val="892"/>
    <w:link w:val="72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24">
    <w:name w:val="Heading 5"/>
    <w:basedOn w:val="891"/>
    <w:next w:val="891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5">
    <w:name w:val="Heading 5 Char"/>
    <w:basedOn w:val="892"/>
    <w:link w:val="72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6">
    <w:name w:val="Heading 6"/>
    <w:basedOn w:val="891"/>
    <w:next w:val="891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7">
    <w:name w:val="Heading 6 Char"/>
    <w:basedOn w:val="892"/>
    <w:link w:val="72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8">
    <w:name w:val="Heading 7"/>
    <w:basedOn w:val="891"/>
    <w:next w:val="891"/>
    <w:link w:val="729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9">
    <w:name w:val="Heading 7 Char"/>
    <w:basedOn w:val="892"/>
    <w:link w:val="72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30">
    <w:name w:val="Heading 8"/>
    <w:basedOn w:val="891"/>
    <w:next w:val="891"/>
    <w:link w:val="731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1">
    <w:name w:val="Heading 8 Char"/>
    <w:basedOn w:val="892"/>
    <w:link w:val="73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32">
    <w:name w:val="Heading 9"/>
    <w:basedOn w:val="891"/>
    <w:next w:val="891"/>
    <w:link w:val="733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3">
    <w:name w:val="Heading 9 Char"/>
    <w:basedOn w:val="892"/>
    <w:link w:val="73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34">
    <w:name w:val="No Spacing"/>
    <w:uiPriority w:val="1"/>
    <w:qFormat/>
    <w:pPr>
      <w:pBdr/>
      <w:spacing w:after="0" w:before="0" w:line="240" w:lineRule="auto"/>
      <w:ind/>
    </w:pPr>
  </w:style>
  <w:style w:type="paragraph" w:styleId="735">
    <w:name w:val="Title"/>
    <w:basedOn w:val="891"/>
    <w:next w:val="891"/>
    <w:link w:val="73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6">
    <w:name w:val="Title Char"/>
    <w:basedOn w:val="892"/>
    <w:link w:val="735"/>
    <w:uiPriority w:val="10"/>
    <w:pPr>
      <w:pBdr/>
      <w:spacing/>
      <w:ind/>
    </w:pPr>
    <w:rPr>
      <w:sz w:val="48"/>
      <w:szCs w:val="48"/>
    </w:rPr>
  </w:style>
  <w:style w:type="paragraph" w:styleId="737">
    <w:name w:val="Subtitle"/>
    <w:basedOn w:val="891"/>
    <w:next w:val="891"/>
    <w:link w:val="738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8">
    <w:name w:val="Subtitle Char"/>
    <w:basedOn w:val="892"/>
    <w:link w:val="737"/>
    <w:uiPriority w:val="11"/>
    <w:pPr>
      <w:pBdr/>
      <w:spacing/>
      <w:ind/>
    </w:pPr>
    <w:rPr>
      <w:sz w:val="24"/>
      <w:szCs w:val="24"/>
    </w:rPr>
  </w:style>
  <w:style w:type="paragraph" w:styleId="739">
    <w:name w:val="Quote"/>
    <w:basedOn w:val="891"/>
    <w:next w:val="891"/>
    <w:link w:val="740"/>
    <w:uiPriority w:val="29"/>
    <w:qFormat/>
    <w:pPr>
      <w:pBdr/>
      <w:spacing/>
      <w:ind w:right="720" w:left="720"/>
    </w:pPr>
    <w:rPr>
      <w:i/>
    </w:rPr>
  </w:style>
  <w:style w:type="character" w:styleId="740">
    <w:name w:val="Quote Char"/>
    <w:link w:val="739"/>
    <w:uiPriority w:val="29"/>
    <w:pPr>
      <w:pBdr/>
      <w:spacing/>
      <w:ind/>
    </w:pPr>
    <w:rPr>
      <w:i/>
    </w:rPr>
  </w:style>
  <w:style w:type="paragraph" w:styleId="741">
    <w:name w:val="Intense Quote"/>
    <w:basedOn w:val="891"/>
    <w:next w:val="891"/>
    <w:link w:val="74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42">
    <w:name w:val="Intense Quote Char"/>
    <w:link w:val="741"/>
    <w:uiPriority w:val="30"/>
    <w:pPr>
      <w:pBdr/>
      <w:spacing/>
      <w:ind/>
    </w:pPr>
    <w:rPr>
      <w:i/>
    </w:rPr>
  </w:style>
  <w:style w:type="paragraph" w:styleId="743">
    <w:name w:val="Header"/>
    <w:basedOn w:val="891"/>
    <w:link w:val="74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4">
    <w:name w:val="Header Char"/>
    <w:basedOn w:val="892"/>
    <w:link w:val="743"/>
    <w:uiPriority w:val="99"/>
    <w:pPr>
      <w:pBdr/>
      <w:spacing/>
      <w:ind/>
    </w:pPr>
  </w:style>
  <w:style w:type="paragraph" w:styleId="745">
    <w:name w:val="Footer"/>
    <w:basedOn w:val="891"/>
    <w:link w:val="748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6">
    <w:name w:val="Footer Char"/>
    <w:basedOn w:val="892"/>
    <w:link w:val="745"/>
    <w:uiPriority w:val="99"/>
    <w:pPr>
      <w:pBdr/>
      <w:spacing/>
      <w:ind/>
    </w:pPr>
  </w:style>
  <w:style w:type="paragraph" w:styleId="747">
    <w:name w:val="Caption"/>
    <w:basedOn w:val="891"/>
    <w:next w:val="89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8">
    <w:name w:val="Caption Char"/>
    <w:basedOn w:val="747"/>
    <w:link w:val="745"/>
    <w:uiPriority w:val="99"/>
    <w:pPr>
      <w:pBdr/>
      <w:spacing/>
      <w:ind/>
    </w:pPr>
  </w:style>
  <w:style w:type="table" w:styleId="749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footnote text"/>
    <w:basedOn w:val="891"/>
    <w:link w:val="87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5">
    <w:name w:val="Footnote Text Char"/>
    <w:link w:val="874"/>
    <w:uiPriority w:val="99"/>
    <w:pPr>
      <w:pBdr/>
      <w:spacing/>
      <w:ind/>
    </w:pPr>
    <w:rPr>
      <w:sz w:val="18"/>
    </w:rPr>
  </w:style>
  <w:style w:type="character" w:styleId="876">
    <w:name w:val="footnote reference"/>
    <w:basedOn w:val="892"/>
    <w:uiPriority w:val="99"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1"/>
    <w:link w:val="878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8">
    <w:name w:val="Endnote Text Char"/>
    <w:link w:val="877"/>
    <w:uiPriority w:val="99"/>
    <w:pPr>
      <w:pBdr/>
      <w:spacing/>
      <w:ind/>
    </w:pPr>
    <w:rPr>
      <w:sz w:val="20"/>
    </w:rPr>
  </w:style>
  <w:style w:type="character" w:styleId="879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toc 1"/>
    <w:basedOn w:val="891"/>
    <w:next w:val="891"/>
    <w:uiPriority w:val="39"/>
    <w:unhideWhenUsed/>
    <w:pPr>
      <w:pBdr/>
      <w:spacing w:after="57"/>
      <w:ind w:right="0" w:firstLine="0" w:left="0"/>
    </w:pPr>
  </w:style>
  <w:style w:type="paragraph" w:styleId="881">
    <w:name w:val="toc 2"/>
    <w:basedOn w:val="891"/>
    <w:next w:val="891"/>
    <w:uiPriority w:val="39"/>
    <w:unhideWhenUsed/>
    <w:pPr>
      <w:pBdr/>
      <w:spacing w:after="57"/>
      <w:ind w:right="0" w:firstLine="0" w:left="283"/>
    </w:pPr>
  </w:style>
  <w:style w:type="paragraph" w:styleId="882">
    <w:name w:val="toc 3"/>
    <w:basedOn w:val="891"/>
    <w:next w:val="891"/>
    <w:uiPriority w:val="39"/>
    <w:unhideWhenUsed/>
    <w:pPr>
      <w:pBdr/>
      <w:spacing w:after="57"/>
      <w:ind w:right="0" w:firstLine="0" w:left="567"/>
    </w:pPr>
  </w:style>
  <w:style w:type="paragraph" w:styleId="883">
    <w:name w:val="toc 4"/>
    <w:basedOn w:val="891"/>
    <w:next w:val="891"/>
    <w:uiPriority w:val="39"/>
    <w:unhideWhenUsed/>
    <w:pPr>
      <w:pBdr/>
      <w:spacing w:after="57"/>
      <w:ind w:right="0" w:firstLine="0" w:left="850"/>
    </w:pPr>
  </w:style>
  <w:style w:type="paragraph" w:styleId="884">
    <w:name w:val="toc 5"/>
    <w:basedOn w:val="891"/>
    <w:next w:val="891"/>
    <w:uiPriority w:val="39"/>
    <w:unhideWhenUsed/>
    <w:pPr>
      <w:pBdr/>
      <w:spacing w:after="57"/>
      <w:ind w:right="0" w:firstLine="0" w:left="1134"/>
    </w:pPr>
  </w:style>
  <w:style w:type="paragraph" w:styleId="885">
    <w:name w:val="toc 6"/>
    <w:basedOn w:val="891"/>
    <w:next w:val="891"/>
    <w:uiPriority w:val="39"/>
    <w:unhideWhenUsed/>
    <w:pPr>
      <w:pBdr/>
      <w:spacing w:after="57"/>
      <w:ind w:right="0" w:firstLine="0" w:left="1417"/>
    </w:pPr>
  </w:style>
  <w:style w:type="paragraph" w:styleId="886">
    <w:name w:val="toc 7"/>
    <w:basedOn w:val="891"/>
    <w:next w:val="891"/>
    <w:uiPriority w:val="39"/>
    <w:unhideWhenUsed/>
    <w:pPr>
      <w:pBdr/>
      <w:spacing w:after="57"/>
      <w:ind w:right="0" w:firstLine="0" w:left="1701"/>
    </w:pPr>
  </w:style>
  <w:style w:type="paragraph" w:styleId="887">
    <w:name w:val="toc 8"/>
    <w:basedOn w:val="891"/>
    <w:next w:val="891"/>
    <w:uiPriority w:val="39"/>
    <w:unhideWhenUsed/>
    <w:pPr>
      <w:pBdr/>
      <w:spacing w:after="57"/>
      <w:ind w:right="0" w:firstLine="0" w:left="1984"/>
    </w:pPr>
  </w:style>
  <w:style w:type="paragraph" w:styleId="888">
    <w:name w:val="toc 9"/>
    <w:basedOn w:val="891"/>
    <w:next w:val="891"/>
    <w:uiPriority w:val="39"/>
    <w:unhideWhenUsed/>
    <w:pPr>
      <w:pBdr/>
      <w:spacing w:after="57"/>
      <w:ind w:right="0" w:firstLine="0" w:left="2268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List Paragraph"/>
    <w:basedOn w:val="891"/>
    <w:uiPriority w:val="34"/>
    <w:qFormat/>
    <w:pPr>
      <w:pBdr/>
      <w:spacing/>
      <w:ind w:left="720"/>
      <w:contextualSpacing w:val="true"/>
    </w:pPr>
  </w:style>
  <w:style w:type="table" w:styleId="896">
    <w:name w:val="Table Grid"/>
    <w:basedOn w:val="893"/>
    <w:uiPriority w:val="59"/>
    <w:pPr>
      <w:pBdr/>
      <w:spacing/>
      <w:ind/>
    </w:pPr>
    <w:rPr>
      <w:rFonts w:cs="Times New Roman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7">
    <w:name w:val="Hyperlink"/>
    <w:basedOn w:val="892"/>
    <w:uiPriority w:val="99"/>
    <w:unhideWhenUsed/>
    <w:pPr>
      <w:pBdr/>
      <w:spacing/>
      <w:ind/>
    </w:pPr>
    <w:rPr>
      <w:rFonts w:cs="Times New Roman"/>
      <w:color w:val="0000ff"/>
      <w:u w:val="single"/>
    </w:rPr>
  </w:style>
  <w:style w:type="paragraph" w:styleId="898">
    <w:name w:val="Balloon Text"/>
    <w:basedOn w:val="891"/>
    <w:link w:val="899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899" w:customStyle="1">
    <w:name w:val="Текст выноски Знак"/>
    <w:basedOn w:val="892"/>
    <w:link w:val="89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00" w:customStyle="1">
    <w:name w:val="Unresolved Mention"/>
    <w:basedOn w:val="89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Низамов</dc:creator>
  <cp:keywords/>
  <dc:description/>
  <cp:revision>36</cp:revision>
  <dcterms:created xsi:type="dcterms:W3CDTF">2024-11-29T07:06:00Z</dcterms:created>
  <dcterms:modified xsi:type="dcterms:W3CDTF">2026-01-07T15:36:38Z</dcterms:modified>
</cp:coreProperties>
</file>