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ayout w:type="fixed"/>
        <w:tblpPr w:horzAnchor="margin" w:tblpXSpec="center" w:vertAnchor="text" w:tblpY="-371" w:leftFromText="180" w:topFromText="0" w:rightFromText="180" w:bottomFromText="0"/>
        <w:tblLook w:val="0000" w:firstRow="0" w:lastRow="0" w:firstColumn="0" w:lastColumn="0" w:noHBand="0" w:noVBand="0"/>
      </w:tblPr>
      <w:tblGrid>
        <w:gridCol w:w="10009"/>
      </w:tblGrid>
      <w:tr>
        <w:trPr>
          <w:trHeight w:val="124"/>
        </w:trPr>
        <w:tc>
          <w:tcPr>
            <w:shd w:val="clear" w:color="auto" w:fill="auto"/>
            <w:tcBorders>
              <w:bottom w:val="single" w:color="auto" w:sz="4" w:space="0"/>
            </w:tcBorders>
            <w:tcMar>
              <w:top w:w="200" w:type="dxa"/>
              <w:bottom w:w="140" w:type="dxa"/>
            </w:tcMar>
            <w:tcW w:w="100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Арбитражный управляющий </w:t>
            </w:r>
            <w:r>
              <w:rPr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color w:val="00b050"/>
                <w:sz w:val="20"/>
                <w:szCs w:val="20"/>
                <w:lang w:val="en-US"/>
              </w:rPr>
              <w:t xml:space="preserve">financialManager</w:t>
            </w:r>
            <w:r>
              <w:rPr>
                <w:color w:val="00b050"/>
                <w:sz w:val="20"/>
                <w:szCs w:val="20"/>
                <w:lang w:val="en-US"/>
              </w:rPr>
              <w:t xml:space="preserve">.fio}}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51"/>
        </w:trPr>
        <w:tc>
          <w:tcPr>
            <w:tcBorders>
              <w:top w:val="single" w:color="auto" w:sz="4" w:space="0"/>
            </w:tcBorders>
            <w:tcMar>
              <w:top w:w="140" w:type="dxa"/>
              <w:bottom w:w="400" w:type="dxa"/>
            </w:tcMar>
            <w:tcW w:w="10009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  <w:szCs w:val="19"/>
              </w:rPr>
            </w:r>
            <w:r>
              <w:rPr>
                <w:color w:val="00b050"/>
                <w:sz w:val="19"/>
              </w:rPr>
            </w:r>
          </w:p>
        </w:tc>
      </w:tr>
    </w:tbl>
    <w:p>
      <w:pPr>
        <w:pBdr/>
        <w:spacing/>
        <w:ind/>
        <w:rPr>
          <w:vanish/>
          <w:sz w:val="16"/>
          <w:szCs w:val="16"/>
        </w:rPr>
      </w:pPr>
      <w:r>
        <w:rPr>
          <w:vanish/>
          <w:sz w:val="16"/>
          <w:szCs w:val="16"/>
        </w:rPr>
      </w:r>
      <w:r>
        <w:rPr>
          <w:vanish/>
          <w:sz w:val="16"/>
          <w:szCs w:val="16"/>
        </w:rPr>
      </w:r>
      <w:r>
        <w:rPr>
          <w:vanish/>
          <w:sz w:val="16"/>
          <w:szCs w:val="16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10"/>
        <w:gridCol w:w="6946"/>
      </w:tblGrid>
      <w:tr>
        <w:trPr/>
        <w:tc>
          <w:tcPr>
            <w:shd w:val="clear" w:color="auto" w:fill="auto"/>
            <w:tcBorders/>
            <w:tcW w:w="3510" w:type="dxa"/>
            <w:textDirection w:val="lrTb"/>
            <w:noWrap w:val="false"/>
          </w:tcPr>
          <w:p>
            <w:pPr>
              <w:pBdr/>
              <w:spacing w:after="240" w:before="240"/>
              <w:ind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</w:r>
            <w:r>
              <w:rPr>
                <w:color w:val="00b050"/>
                <w:sz w:val="20"/>
                <w:szCs w:val="20"/>
              </w:rPr>
            </w:r>
            <w:r>
              <w:rPr>
                <w:color w:val="00b050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Управление ГИБДД ГУ МВД России по городу Санкт-Петербургу и Ленинградской области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197136</w:t>
            </w:r>
            <w:r>
              <w:rPr>
                <w:b/>
                <w:sz w:val="20"/>
                <w:szCs w:val="20"/>
              </w:rPr>
              <w:t xml:space="preserve">, г. Санкт-Петербург, ул. Профессора Попова, д. 42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/>
        <w:ind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Запрос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Bdr/>
        <w:spacing/>
        <w:ind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pBdr/>
        <w:spacing/>
        <w:ind w:firstLine="708"/>
        <w:jc w:val="both"/>
        <w:rPr>
          <w:rFonts w:cs="Calibri"/>
          <w:color w:val="00b050"/>
          <w:sz w:val="22"/>
          <w:szCs w:val="22"/>
        </w:rPr>
      </w:pPr>
      <w:r>
        <w:rPr>
          <w:rFonts w:cs="Calibri"/>
          <w:color w:val="00b050"/>
          <w:sz w:val="22"/>
          <w:szCs w:val="22"/>
        </w:rPr>
      </w:r>
      <w:r>
        <w:rPr>
          <w:rFonts w:cs="Calibri"/>
          <w:color w:val="00b050"/>
          <w:sz w:val="22"/>
          <w:szCs w:val="22"/>
        </w:rPr>
        <w:t xml:space="preserve">{{startNotificationText}}</w:t>
      </w:r>
      <w:r>
        <w:rPr>
          <w:rFonts w:cs="Calibri"/>
          <w:color w:val="00b050"/>
          <w:sz w:val="22"/>
          <w:szCs w:val="22"/>
        </w:rPr>
      </w:r>
      <w:r>
        <w:rPr>
          <w:rFonts w:cs="Calibri"/>
          <w:color w:val="00b050"/>
          <w:sz w:val="22"/>
          <w:szCs w:val="22"/>
        </w:rPr>
      </w:r>
    </w:p>
    <w:p>
      <w:pPr>
        <w:pBdr/>
        <w:spacing/>
        <w:ind w:firstLine="708"/>
        <w:jc w:val="both"/>
        <w:rPr>
          <w:rFonts w:cs="Calibri"/>
          <w:sz w:val="21"/>
          <w:szCs w:val="21"/>
        </w:rPr>
      </w:pPr>
      <w:r>
        <w:rPr>
          <w:sz w:val="21"/>
          <w:szCs w:val="21"/>
        </w:rPr>
        <w:t xml:space="preserve">Финансовым управляющим утвержден </w:t>
      </w:r>
      <w:r>
        <w:rPr>
          <w:color w:val="00b050"/>
          <w:sz w:val="21"/>
          <w:szCs w:val="21"/>
        </w:rPr>
        <w:t xml:space="preserve">{{FinancialManagerInfo}}</w:t>
      </w:r>
      <w:r>
        <w:rPr>
          <w:sz w:val="21"/>
          <w:szCs w:val="21"/>
        </w:rPr>
        <w:t xml:space="preserve">.</w:t>
      </w:r>
      <w:r>
        <w:rPr>
          <w:rFonts w:cs="Calibri"/>
          <w:sz w:val="21"/>
          <w:szCs w:val="21"/>
        </w:rPr>
        <w:t xml:space="preserve"> </w:t>
      </w:r>
      <w:r>
        <w:rPr>
          <w:rFonts w:cs="Calibri"/>
          <w:sz w:val="21"/>
          <w:szCs w:val="21"/>
        </w:rPr>
      </w:r>
      <w:r>
        <w:rPr>
          <w:rFonts w:cs="Calibri"/>
          <w:sz w:val="21"/>
          <w:szCs w:val="21"/>
        </w:rPr>
      </w:r>
    </w:p>
    <w:p>
      <w:pPr>
        <w:pBdr/>
        <w:spacing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Согласно п. 1 ст. 213.25 Закона</w:t>
      </w:r>
      <w:r>
        <w:rPr>
          <w:sz w:val="21"/>
          <w:szCs w:val="21"/>
        </w:rPr>
        <w:t xml:space="preserve"> о банкротстве все имущество гражданина, имеющееся на дату принятия решения суда о признании гражданина банкротом и введении реализации имущества гражданина и выявленное или приобретенное после даты принятия указанного решения, составляет конкурсную массу.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 w:firstLine="70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На основании </w:t>
      </w:r>
      <w:r>
        <w:rPr>
          <w:sz w:val="21"/>
          <w:szCs w:val="21"/>
        </w:rPr>
        <w:t xml:space="preserve">абз</w:t>
      </w:r>
      <w:r>
        <w:rPr>
          <w:sz w:val="21"/>
          <w:szCs w:val="21"/>
        </w:rPr>
        <w:t xml:space="preserve">. 5 п. 7 ст. 213.9 Закона о банкротстве (в ред. Федерального закона №107-ФЗ от 29.05.2024 г.), Финансовый управляющий впр</w:t>
      </w:r>
      <w:r>
        <w:rPr>
          <w:sz w:val="21"/>
          <w:szCs w:val="21"/>
        </w:rPr>
        <w:t xml:space="preserve">аве получать информацию об имуществе гражданина и его супруга, а также о счетах и вкладах (депозитах) гражданина и его супруга, в том числе по банковским картам, об остатках электронных денежных средств и о переводах электронных денежных средств от граждан</w:t>
      </w:r>
      <w:r>
        <w:rPr>
          <w:sz w:val="21"/>
          <w:szCs w:val="21"/>
        </w:rPr>
        <w:t xml:space="preserve"> и юридических лиц (включая кредитные организации), от органов государственной власти, органов местного самоуправления </w:t>
      </w:r>
      <w:r>
        <w:rPr>
          <w:b/>
          <w:bCs/>
          <w:sz w:val="21"/>
          <w:szCs w:val="21"/>
          <w:u w:val="single"/>
        </w:rPr>
        <w:t xml:space="preserve">без предварительного обращения в Арбитражный су</w:t>
      </w:r>
      <w:r>
        <w:rPr>
          <w:b/>
          <w:bCs/>
          <w:sz w:val="21"/>
          <w:szCs w:val="21"/>
          <w:u w:val="single"/>
        </w:rPr>
        <w:t xml:space="preserve">д</w:t>
      </w:r>
      <w:r>
        <w:rPr>
          <w:b/>
          <w:bCs/>
          <w:sz w:val="21"/>
          <w:szCs w:val="21"/>
        </w:rPr>
        <w:t xml:space="preserve">,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прошу сообщить следующую информацию в отношении </w:t>
      </w:r>
      <w:r>
        <w:rPr>
          <w:b/>
          <w:sz w:val="21"/>
          <w:szCs w:val="21"/>
        </w:rPr>
        <w:t xml:space="preserve">должника</w:t>
      </w:r>
      <w:r>
        <w:rPr>
          <w:b/>
          <w:color w:val="00b050"/>
          <w:sz w:val="21"/>
          <w:szCs w:val="21"/>
        </w:rPr>
        <w:t xml:space="preserve"> </w:t>
      </w:r>
      <w:r>
        <w:rPr>
          <w:b/>
          <w:color w:val="00b050"/>
          <w:sz w:val="21"/>
          <w:szCs w:val="21"/>
        </w:rPr>
        <w:t xml:space="preserve">{{spouseExtended}}</w:t>
      </w:r>
      <w:r>
        <w:rPr>
          <w:b/>
          <w:sz w:val="21"/>
          <w:szCs w:val="21"/>
        </w:rPr>
        <w:t xml:space="preserve">: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1"/>
        <w:numPr>
          <w:ilvl w:val="0"/>
          <w:numId w:val="1"/>
        </w:numPr>
        <w:pBdr/>
        <w:spacing/>
        <w:ind/>
        <w:jc w:val="both"/>
        <w:rPr>
          <w:sz w:val="21"/>
          <w:szCs w:val="21"/>
        </w:rPr>
      </w:pPr>
      <w:r>
        <w:rPr>
          <w:b/>
          <w:bCs/>
          <w:sz w:val="21"/>
          <w:szCs w:val="21"/>
          <w:u w:val="single"/>
        </w:rPr>
        <w:t xml:space="preserve">о наличии зарегистрированных автотранспортных средствах и прицепах к ним;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1"/>
        <w:numPr>
          <w:ilvl w:val="0"/>
          <w:numId w:val="1"/>
        </w:numPr>
        <w:pBdr/>
        <w:spacing/>
        <w:ind/>
        <w:jc w:val="both"/>
        <w:rPr>
          <w:sz w:val="21"/>
          <w:szCs w:val="21"/>
        </w:rPr>
      </w:pPr>
      <w:r>
        <w:rPr>
          <w:b/>
          <w:sz w:val="21"/>
          <w:szCs w:val="21"/>
          <w:u w:val="single"/>
        </w:rPr>
        <w:t xml:space="preserve">о наличии арестов, залогов, иных обременений транспортных средств</w:t>
      </w:r>
      <w:r>
        <w:rPr>
          <w:b/>
          <w:bCs/>
          <w:sz w:val="21"/>
          <w:szCs w:val="21"/>
          <w:u w:val="single"/>
        </w:rPr>
        <w:t xml:space="preserve"> </w:t>
      </w:r>
      <w:r>
        <w:rPr>
          <w:b/>
          <w:bCs/>
          <w:sz w:val="21"/>
          <w:szCs w:val="21"/>
          <w:u w:val="single"/>
        </w:rPr>
        <w:t xml:space="preserve">и прицепах к ним</w:t>
      </w:r>
      <w:r>
        <w:rPr>
          <w:b/>
          <w:sz w:val="21"/>
          <w:szCs w:val="21"/>
          <w:u w:val="single"/>
        </w:rPr>
        <w:t xml:space="preserve">, зарегистрированных за должником</w:t>
      </w:r>
      <w:r>
        <w:rPr>
          <w:b/>
          <w:sz w:val="21"/>
          <w:szCs w:val="21"/>
        </w:rPr>
        <w:t xml:space="preserve">;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Style w:val="921"/>
        <w:numPr>
          <w:ilvl w:val="0"/>
          <w:numId w:val="1"/>
        </w:numPr>
        <w:pBdr/>
        <w:spacing/>
        <w:ind/>
        <w:jc w:val="both"/>
        <w:rPr>
          <w:sz w:val="21"/>
          <w:szCs w:val="21"/>
        </w:rPr>
      </w:pPr>
      <w:r>
        <w:rPr>
          <w:b/>
          <w:bCs/>
          <w:sz w:val="21"/>
          <w:szCs w:val="21"/>
          <w:u w:val="single"/>
        </w:rPr>
        <w:t xml:space="preserve">о снятых с учета за ТРИ ГОДА до возбуждения дела о банкротстве по настоящее время</w:t>
      </w:r>
      <w:r>
        <w:rPr>
          <w:b/>
          <w:bCs/>
          <w:sz w:val="21"/>
          <w:szCs w:val="21"/>
          <w:u w:val="single"/>
        </w:rPr>
        <w:t xml:space="preserve"> </w:t>
      </w:r>
      <w:r>
        <w:rPr>
          <w:b/>
          <w:bCs/>
          <w:sz w:val="21"/>
          <w:szCs w:val="21"/>
          <w:u w:val="single"/>
        </w:rPr>
        <w:t xml:space="preserve">автотранспортных средствах и прицепах к ним</w:t>
      </w:r>
      <w:r>
        <w:rPr>
          <w:sz w:val="21"/>
          <w:szCs w:val="21"/>
          <w:u w:val="single"/>
        </w:rPr>
        <w:t xml:space="preserve"> </w:t>
      </w:r>
      <w:r>
        <w:rPr>
          <w:b/>
          <w:bCs/>
          <w:sz w:val="21"/>
          <w:szCs w:val="21"/>
          <w:u w:val="single"/>
        </w:rPr>
        <w:t xml:space="preserve">с приложением копий документов, на основании которых совершались регистрационные действия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numPr>
          <w:ilvl w:val="0"/>
          <w:numId w:val="1"/>
        </w:numPr>
        <w:pBdr/>
        <w:spacing/>
        <w:ind/>
        <w:jc w:val="both"/>
        <w:rPr>
          <w:sz w:val="21"/>
          <w:szCs w:val="21"/>
        </w:rPr>
      </w:pPr>
      <w:r>
        <w:rPr>
          <w:b/>
          <w:sz w:val="21"/>
          <w:szCs w:val="21"/>
          <w:u w:val="single"/>
        </w:rPr>
        <w:t xml:space="preserve">В ответ</w:t>
      </w:r>
      <w:r>
        <w:rPr>
          <w:b/>
          <w:bCs/>
          <w:sz w:val="21"/>
          <w:szCs w:val="21"/>
          <w:u w:val="single"/>
        </w:rPr>
        <w:t xml:space="preserve"> на запрос прошу указать точные данные о </w:t>
      </w:r>
      <w:r>
        <w:rPr>
          <w:b/>
          <w:sz w:val="21"/>
          <w:szCs w:val="21"/>
          <w:u w:val="single"/>
        </w:rPr>
        <w:t xml:space="preserve">должнике</w:t>
      </w:r>
      <w:r>
        <w:rPr>
          <w:b/>
          <w:color w:val="00b050"/>
          <w:sz w:val="21"/>
          <w:szCs w:val="21"/>
          <w:u w:val="single"/>
          <w:lang w:val="en-US"/>
        </w:rPr>
        <w:t xml:space="preserve"> </w:t>
      </w:r>
      <w:r>
        <w:rPr>
          <w:b/>
          <w:color w:val="00b050"/>
          <w:sz w:val="21"/>
          <w:szCs w:val="21"/>
          <w:u w:val="single"/>
        </w:rPr>
        <w:t xml:space="preserve">{{spouseExtended}}</w:t>
      </w:r>
      <w:r>
        <w:rPr>
          <w:b/>
          <w:bCs/>
          <w:sz w:val="21"/>
          <w:szCs w:val="21"/>
        </w:rPr>
        <w:t xml:space="preserve">: (№ дела, Ф.И.О, дата рождения).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Напоминаю, что в соответствии с п. 1 ст</w:t>
      </w:r>
      <w:r>
        <w:rPr>
          <w:sz w:val="21"/>
          <w:szCs w:val="21"/>
        </w:rPr>
        <w:t xml:space="preserve">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>
        <w:rPr>
          <w:b/>
          <w:sz w:val="21"/>
          <w:szCs w:val="21"/>
          <w:u w:val="single"/>
        </w:rPr>
        <w:t xml:space="preserve">в течение семи дней</w:t>
      </w:r>
      <w:r>
        <w:rPr>
          <w:sz w:val="21"/>
          <w:szCs w:val="21"/>
        </w:rPr>
        <w:t xml:space="preserve"> со дня получения запроса без взимания платы.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 w:after="120" w:before="120"/>
        <w:ind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Ответ</w:t>
      </w:r>
      <w:r>
        <w:rPr>
          <w:b/>
          <w:bCs/>
          <w:color w:val="222222"/>
          <w:sz w:val="22"/>
          <w:szCs w:val="22"/>
        </w:rPr>
        <w:t xml:space="preserve"> на запрос и копии документов прошу направить по адресу электронной почты: </w:t>
      </w:r>
      <w:r>
        <w:rPr>
          <w:color w:val="0070c0"/>
          <w:sz w:val="22"/>
          <w:szCs w:val="22"/>
          <w:lang w:val="en-US"/>
        </w:rPr>
        <w:t xml:space="preserve">{{</w:t>
      </w:r>
      <w:r>
        <w:rPr>
          <w:color w:val="0070c0"/>
          <w:sz w:val="22"/>
          <w:szCs w:val="22"/>
          <w:lang w:val="en-US"/>
        </w:rPr>
        <w:t xml:space="preserve">financialManager</w:t>
      </w:r>
      <w:r>
        <w:rPr>
          <w:color w:val="0070c0"/>
          <w:sz w:val="22"/>
          <w:szCs w:val="22"/>
          <w:lang w:val="en-US"/>
        </w:rPr>
        <w:t xml:space="preserve">.email}}</w:t>
      </w:r>
      <w:r>
        <w:rPr>
          <w:b/>
          <w:sz w:val="22"/>
          <w:szCs w:val="22"/>
          <w:u w:val="single"/>
        </w:rPr>
      </w:r>
      <w:r>
        <w:rPr>
          <w:b/>
          <w:sz w:val="22"/>
          <w:szCs w:val="22"/>
          <w:u w:val="single"/>
        </w:rPr>
      </w:r>
    </w:p>
    <w:p>
      <w:pPr>
        <w:pBdr/>
        <w:spacing/>
        <w:ind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При</w:t>
      </w:r>
      <w:r>
        <w:rPr>
          <w:color w:val="222222"/>
          <w:sz w:val="22"/>
          <w:szCs w:val="22"/>
        </w:rPr>
        <w:t xml:space="preserve"> отсутствия технической возможности отправки документа по электронной почте, прошу направить его заказным письмом по адресу:</w:t>
      </w:r>
      <w:r>
        <w:rPr>
          <w:color w:val="222222"/>
          <w:sz w:val="22"/>
          <w:szCs w:val="22"/>
        </w:rPr>
        <w:t xml:space="preserve"> </w:t>
      </w:r>
      <w:r>
        <w:rPr>
          <w:b/>
          <w:color w:val="00b050"/>
          <w:sz w:val="22"/>
          <w:szCs w:val="22"/>
          <w:u w:val="single"/>
          <w:lang w:val="en-US"/>
        </w:rPr>
        <w:t xml:space="preserve">{{</w:t>
      </w:r>
      <w:r>
        <w:rPr>
          <w:b/>
          <w:color w:val="00b050"/>
          <w:sz w:val="22"/>
          <w:szCs w:val="22"/>
          <w:u w:val="single"/>
          <w:lang w:val="en-US"/>
        </w:rPr>
        <w:t xml:space="preserve">correspondenceAddress</w:t>
      </w:r>
      <w:r>
        <w:rPr>
          <w:b/>
          <w:color w:val="00b050"/>
          <w:sz w:val="22"/>
          <w:szCs w:val="22"/>
          <w:u w:val="single"/>
          <w:lang w:val="en-US"/>
        </w:rPr>
        <w:t xml:space="preserve">}}</w:t>
      </w:r>
      <w:r>
        <w:rPr>
          <w:sz w:val="22"/>
          <w:szCs w:val="22"/>
        </w:rPr>
        <w:t xml:space="preserve">.</w:t>
      </w:r>
      <w:r>
        <w:rPr>
          <w:color w:val="222222"/>
          <w:sz w:val="22"/>
          <w:szCs w:val="22"/>
        </w:rPr>
      </w:r>
      <w:r>
        <w:rPr>
          <w:color w:val="222222"/>
          <w:sz w:val="22"/>
          <w:szCs w:val="22"/>
        </w:rPr>
      </w:r>
    </w:p>
    <w:p>
      <w:pPr>
        <w:pBdr/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При возниконовении вопросов, просьба связаться со мной по номеру телефона: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center"/>
        <w:rPr>
          <w:b/>
          <w:sz w:val="22"/>
          <w:szCs w:val="22"/>
          <w:u w:val="single"/>
        </w:rPr>
      </w:pPr>
      <w:r>
        <w:rPr>
          <w:b/>
          <w:color w:val="0070c0"/>
          <w:sz w:val="22"/>
          <w:szCs w:val="22"/>
          <w:u w:val="single"/>
          <w:lang w:val="en-US"/>
        </w:rPr>
        <w:t xml:space="preserve">{{</w:t>
      </w:r>
      <w:r>
        <w:rPr>
          <w:b/>
          <w:color w:val="0070c0"/>
          <w:sz w:val="22"/>
          <w:szCs w:val="22"/>
          <w:u w:val="single"/>
          <w:lang w:val="en-US"/>
        </w:rPr>
        <w:t xml:space="preserve">financialManager</w:t>
      </w:r>
      <w:r>
        <w:rPr>
          <w:b/>
          <w:color w:val="0070c0"/>
          <w:sz w:val="22"/>
          <w:szCs w:val="22"/>
          <w:u w:val="single"/>
          <w:lang w:val="en-US"/>
        </w:rPr>
        <w:t xml:space="preserve">.phone}}</w:t>
      </w:r>
      <w:r>
        <w:rPr>
          <w:b/>
          <w:sz w:val="22"/>
          <w:szCs w:val="22"/>
          <w:u w:val="single"/>
        </w:rPr>
      </w:r>
      <w:r>
        <w:rPr>
          <w:b/>
          <w:sz w:val="22"/>
          <w:szCs w:val="22"/>
          <w:u w:val="single"/>
        </w:rPr>
      </w:r>
    </w:p>
    <w:p>
      <w:pPr>
        <w:pBdr/>
        <w:spacing/>
        <w:ind w:firstLine="709"/>
        <w:jc w:val="both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/>
        <w:ind/>
        <w:jc w:val="both"/>
        <w:rPr>
          <w:i/>
          <w:sz w:val="21"/>
          <w:szCs w:val="21"/>
          <w:u w:val="single"/>
        </w:rPr>
      </w:pPr>
      <w:r>
        <w:rPr>
          <w:i/>
          <w:sz w:val="21"/>
          <w:szCs w:val="21"/>
          <w:u w:val="single"/>
        </w:rPr>
        <w:t xml:space="preserve">Обращаю внимание, что в соответствии с ФЗ №107 от 29.05.2024 г., запрашиваемые сведения должны предоставляться органами государственной власти и местного самоуправления без предварительного обращения финансового управляющего в Арбитр</w:t>
      </w:r>
      <w:r>
        <w:rPr>
          <w:i/>
          <w:sz w:val="21"/>
          <w:szCs w:val="21"/>
          <w:u w:val="single"/>
        </w:rPr>
        <w:t xml:space="preserve">ажный суд. В случае непредоставления (отказа от предоставления) сведений в течение семи календарных дней, финансовым управляющим будет подано заявление о привлечении должностного лица к административной ответственности, в соответствии с ч.4, ст.14.13 КоАП.</w:t>
      </w:r>
      <w:r>
        <w:rPr>
          <w:i/>
          <w:sz w:val="21"/>
          <w:szCs w:val="21"/>
          <w:u w:val="single"/>
        </w:rPr>
      </w:r>
      <w:r>
        <w:rPr>
          <w:i/>
          <w:sz w:val="21"/>
          <w:szCs w:val="21"/>
          <w:u w:val="single"/>
        </w:rPr>
      </w:r>
    </w:p>
    <w:p>
      <w:pPr>
        <w:pBdr/>
        <w:spacing/>
        <w:ind/>
        <w:jc w:val="both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</w:r>
      <w:r>
        <w:rPr>
          <w:b/>
          <w:sz w:val="16"/>
          <w:szCs w:val="16"/>
          <w:u w:val="single"/>
        </w:rPr>
      </w:r>
      <w:r>
        <w:rPr>
          <w:b/>
          <w:sz w:val="16"/>
          <w:szCs w:val="16"/>
          <w:u w:val="single"/>
        </w:rPr>
      </w:r>
    </w:p>
    <w:p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Приложение: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 w:left="851"/>
        <w:jc w:val="both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</w:r>
      <w:r>
        <w:rPr>
          <w:rFonts w:cs="Calibri"/>
          <w:color w:val="00b050"/>
          <w:sz w:val="18"/>
          <w:szCs w:val="18"/>
        </w:rPr>
        <w:t xml:space="preserve">Копия {{resolutionPart}} решения Арбитражного суда {{court.shortName}} от {{procedureInitiationDateForPublication}} по делу № {{</w:t>
      </w:r>
      <w:r>
        <w:rPr>
          <w:rFonts w:cs="Calibri"/>
          <w:color w:val="00b050"/>
          <w:sz w:val="18"/>
          <w:szCs w:val="18"/>
          <w:lang w:val="en-US"/>
        </w:rPr>
        <w:t xml:space="preserve">c</w:t>
      </w:r>
      <w:r>
        <w:rPr>
          <w:rFonts w:cs="Calibri"/>
          <w:color w:val="00b050"/>
          <w:sz w:val="18"/>
          <w:szCs w:val="18"/>
        </w:rPr>
        <w:t xml:space="preserve">aseNumber}}</w:t>
      </w:r>
      <w:r>
        <w:rPr>
          <w:rFonts w:cs="Calibri"/>
          <w:sz w:val="18"/>
          <w:szCs w:val="18"/>
        </w:rPr>
        <w:t xml:space="preserve">;</w:t>
      </w:r>
      <w:r>
        <w:rPr>
          <w:rFonts w:cs="Calibri"/>
          <w:sz w:val="18"/>
          <w:szCs w:val="18"/>
        </w:rPr>
      </w:r>
      <w:r>
        <w:rPr>
          <w:rFonts w:cs="Calibri"/>
          <w:sz w:val="18"/>
          <w:szCs w:val="18"/>
        </w:rPr>
      </w:r>
    </w:p>
    <w:p>
      <w:pPr>
        <w:pBdr/>
        <w:spacing/>
        <w:ind w:left="851"/>
        <w:jc w:val="both"/>
        <w:rPr>
          <w:rFonts w:cs="Calibri"/>
          <w:color w:val="7030a0"/>
          <w:sz w:val="18"/>
          <w:szCs w:val="18"/>
        </w:rPr>
      </w:pPr>
      <w:r>
        <w:rPr>
          <w:rFonts w:cs="Calibri"/>
          <w:color w:val="7030a0"/>
          <w:sz w:val="18"/>
          <w:szCs w:val="18"/>
        </w:rPr>
        <w:t xml:space="preserve">Копия свидетельства о заключении (расторжении) брака</w:t>
      </w:r>
      <w:r>
        <w:rPr>
          <w:rFonts w:cs="Calibri"/>
          <w:color w:val="7030a0"/>
          <w:sz w:val="18"/>
          <w:szCs w:val="18"/>
        </w:rPr>
      </w:r>
      <w:r>
        <w:rPr>
          <w:rFonts w:cs="Calibri"/>
          <w:color w:val="7030a0"/>
          <w:sz w:val="18"/>
          <w:szCs w:val="18"/>
        </w:rPr>
      </w:r>
    </w:p>
    <w:p>
      <w:pPr>
        <w:pBdr/>
        <w:spacing/>
        <w:ind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>
      <w:pPr>
        <w:pBdr/>
        <w:spacing/>
        <w:ind/>
        <w:jc w:val="both"/>
        <w:rPr>
          <w:b/>
          <w:bCs/>
        </w:rPr>
      </w:pPr>
      <w:r>
        <w:rPr>
          <w:b/>
          <w:bCs/>
        </w:rPr>
        <w:t xml:space="preserve">С уважением,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both"/>
        <w:rPr>
          <w:b/>
        </w:rPr>
      </w:pPr>
      <w:r>
        <w:rPr>
          <w:b/>
          <w:bCs/>
        </w:rPr>
        <w:t xml:space="preserve">Арбитражный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управляющий </w:t>
      </w:r>
      <w:r>
        <w:rPr>
          <w:b/>
          <w:bCs/>
        </w:rPr>
        <w:t xml:space="preserve">                                                                   </w:t>
      </w:r>
      <w:r>
        <w:rPr>
          <w:b/>
          <w:color w:val="00b050"/>
          <w:lang w:val="en-US"/>
        </w:rPr>
        <w:t xml:space="preserve">{{</w:t>
      </w:r>
      <w:r>
        <w:rPr>
          <w:b/>
          <w:color w:val="00b050"/>
          <w:lang w:val="en-US"/>
        </w:rPr>
        <w:t xml:space="preserve">financialManager</w:t>
      </w:r>
      <w:r>
        <w:rPr>
          <w:b/>
          <w:color w:val="00b050"/>
          <w:lang w:val="en-US"/>
        </w:rPr>
        <w:t xml:space="preserve">.shortFio}}</w:t>
      </w:r>
      <w:r>
        <w:rPr>
          <w:b/>
          <w:color w:val="00b050"/>
        </w:rPr>
      </w:r>
      <w:r>
        <w:rPr>
          <w:b/>
        </w:rPr>
      </w:r>
    </w:p>
    <w:p>
      <w:pPr>
        <w:pBdr/>
        <w:spacing/>
        <w:ind/>
        <w:jc w:val="both"/>
        <w:rPr>
          <w:b/>
          <w:sz w:val="16"/>
          <w:szCs w:val="16"/>
        </w:rPr>
      </w:pPr>
      <w:r>
        <w:rPr>
          <w:b/>
        </w:rPr>
        <w:br w:type="page" w:clear="all"/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tbl>
      <w:tblPr>
        <w:tblW w:w="0" w:type="auto"/>
        <w:tblBorders/>
        <w:tblLayout w:type="fixed"/>
        <w:tblpPr w:horzAnchor="margin" w:tblpXSpec="center" w:vertAnchor="text" w:tblpY="-503" w:leftFromText="180" w:topFromText="0" w:rightFromText="180" w:bottomFromText="0"/>
        <w:tblLook w:val="0000" w:firstRow="0" w:lastRow="0" w:firstColumn="0" w:lastColumn="0" w:noHBand="0" w:noVBand="0"/>
      </w:tblPr>
      <w:tblGrid>
        <w:gridCol w:w="9513"/>
      </w:tblGrid>
      <w:tr>
        <w:trPr>
          <w:trHeight w:val="181"/>
        </w:trPr>
        <w:tc>
          <w:tcPr>
            <w:shd w:val="clear" w:color="auto" w:fill="auto"/>
            <w:tcBorders>
              <w:bottom w:val="single" w:color="auto" w:sz="4" w:space="0"/>
            </w:tcBorders>
            <w:tcMar>
              <w:top w:w="200" w:type="dxa"/>
              <w:bottom w:w="140" w:type="dxa"/>
            </w:tcMar>
            <w:tcW w:w="95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br w:type="page" w:clear="all"/>
            </w:r>
            <w:r>
              <w:rPr>
                <w:sz w:val="20"/>
                <w:szCs w:val="20"/>
              </w:rPr>
              <w:t xml:space="preserve">Арбитражный управляющий </w:t>
            </w:r>
            <w:r>
              <w:rPr>
                <w:color w:val="00b050"/>
                <w:sz w:val="20"/>
                <w:szCs w:val="20"/>
              </w:rPr>
              <w:t xml:space="preserve">{{financialManager.fio}}</w:t>
            </w:r>
            <w:r>
              <w:rPr>
                <w:color w:val="00b05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82"/>
        </w:trPr>
        <w:tc>
          <w:tcPr>
            <w:tcBorders>
              <w:top w:val="single" w:color="auto" w:sz="4" w:space="0"/>
            </w:tcBorders>
            <w:tcMar>
              <w:top w:w="140" w:type="dxa"/>
              <w:bottom w:w="400" w:type="dxa"/>
            </w:tcMar>
            <w:tcW w:w="9513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color w:val="00b050"/>
                <w:sz w:val="19"/>
              </w:rPr>
            </w:r>
          </w:p>
        </w:tc>
      </w:tr>
    </w:tbl>
    <w:p>
      <w:pPr>
        <w:pBdr/>
        <w:spacing/>
        <w:ind/>
        <w:rPr>
          <w:vanish/>
          <w:sz w:val="16"/>
          <w:szCs w:val="16"/>
        </w:rPr>
      </w:pPr>
      <w:r>
        <w:rPr>
          <w:vanish/>
          <w:sz w:val="16"/>
          <w:szCs w:val="16"/>
        </w:rPr>
      </w:r>
      <w:r>
        <w:rPr>
          <w:vanish/>
          <w:sz w:val="16"/>
          <w:szCs w:val="16"/>
        </w:rPr>
      </w:r>
      <w:r>
        <w:rPr>
          <w:vanish/>
          <w:sz w:val="16"/>
          <w:szCs w:val="16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52"/>
        <w:gridCol w:w="6804"/>
      </w:tblGrid>
      <w:tr>
        <w:trPr/>
        <w:tc>
          <w:tcPr>
            <w:shd w:val="clear" w:color="auto" w:fill="auto"/>
            <w:tcBorders/>
            <w:tcW w:w="3652" w:type="dxa"/>
            <w:textDirection w:val="lrTb"/>
            <w:noWrap w:val="false"/>
          </w:tcPr>
          <w:p>
            <w:pPr>
              <w:pBdr/>
              <w:spacing w:after="240" w:before="24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6804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procedureInitiationMchs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.name}}</w:t>
            </w:r>
            <w:r>
              <w:rPr>
                <w:b/>
                <w:sz w:val="20"/>
                <w:szCs w:val="20"/>
              </w:rPr>
              <w:t xml:space="preserve"> (в ГИМС)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>
            <w:pPr>
              <w:pBdr/>
              <w:spacing w:before="120"/>
              <w:ind/>
              <w:jc w:val="right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</w:rPr>
              <w:t xml:space="preserve">{{procedureInitiationMchs.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address</w:t>
            </w:r>
            <w:r>
              <w:rPr>
                <w:b/>
                <w:color w:val="00b050"/>
                <w:sz w:val="20"/>
                <w:szCs w:val="20"/>
              </w:rPr>
              <w:t xml:space="preserve">}}</w:t>
            </w:r>
            <w:r>
              <w:rPr>
                <w:b/>
                <w:color w:val="00b050"/>
                <w:sz w:val="20"/>
                <w:szCs w:val="20"/>
              </w:rPr>
            </w:r>
            <w:r>
              <w:rPr>
                <w:b/>
                <w:color w:val="00b050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/>
        <w:ind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Запрос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Bdr/>
        <w:spacing/>
        <w:ind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pBdr/>
        <w:spacing/>
        <w:ind w:firstLine="708"/>
        <w:jc w:val="both"/>
        <w:rPr>
          <w:rFonts w:cs="Calibri"/>
          <w:color w:val="00b050"/>
          <w:sz w:val="22"/>
          <w:szCs w:val="22"/>
        </w:rPr>
      </w:pPr>
      <w:r>
        <w:rPr>
          <w:rFonts w:cs="Calibri"/>
          <w:color w:val="00b050"/>
          <w:sz w:val="22"/>
          <w:szCs w:val="22"/>
        </w:rPr>
        <w:t xml:space="preserve">{{startNotificationText}}</w:t>
      </w:r>
      <w:r>
        <w:rPr>
          <w:rFonts w:cs="Calibri"/>
          <w:color w:val="00b050"/>
          <w:sz w:val="22"/>
          <w:szCs w:val="22"/>
        </w:rPr>
      </w:r>
      <w:r>
        <w:rPr>
          <w:rFonts w:cs="Calibri"/>
          <w:color w:val="00b050"/>
          <w:sz w:val="22"/>
          <w:szCs w:val="22"/>
        </w:rPr>
      </w:r>
    </w:p>
    <w:p>
      <w:pPr>
        <w:pBdr/>
        <w:spacing/>
        <w:ind w:firstLine="70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Финансовым управляющим утвержден </w:t>
      </w:r>
      <w:r>
        <w:rPr>
          <w:color w:val="00b050"/>
          <w:sz w:val="21"/>
          <w:szCs w:val="21"/>
        </w:rPr>
        <w:t xml:space="preserve">{{FinancialManagerInfo}}</w:t>
      </w:r>
      <w:r>
        <w:rPr>
          <w:sz w:val="21"/>
          <w:szCs w:val="21"/>
        </w:rPr>
        <w:t xml:space="preserve">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 w:firstLine="709"/>
        <w:jc w:val="both"/>
        <w:rPr>
          <w:sz w:val="22"/>
          <w:szCs w:val="22"/>
        </w:rPr>
      </w:pPr>
      <w:r>
        <w:rPr>
          <w:sz w:val="21"/>
          <w:szCs w:val="21"/>
        </w:rPr>
        <w:t xml:space="preserve">Согласно п. 1 ст. 213.25 Закона</w:t>
      </w:r>
      <w:r>
        <w:rPr>
          <w:sz w:val="21"/>
          <w:szCs w:val="21"/>
        </w:rPr>
        <w:t xml:space="preserve"> о банкротстве все имущество гражданина, имеющееся на дату принятия решения суда о признании гражданина банкротом и введении реализации имущества гражданина и выявленное или приобретенное после даты принятия указанного решения, составляет конкурсную массу.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09"/>
        <w:jc w:val="both"/>
        <w:rPr>
          <w:b/>
          <w:sz w:val="21"/>
          <w:szCs w:val="21"/>
        </w:rPr>
      </w:pPr>
      <w:r>
        <w:rPr>
          <w:sz w:val="21"/>
          <w:szCs w:val="21"/>
        </w:rPr>
        <w:t xml:space="preserve">На основании </w:t>
      </w:r>
      <w:r>
        <w:rPr>
          <w:sz w:val="21"/>
          <w:szCs w:val="21"/>
        </w:rPr>
        <w:t xml:space="preserve">абз</w:t>
      </w:r>
      <w:r>
        <w:rPr>
          <w:sz w:val="21"/>
          <w:szCs w:val="21"/>
        </w:rPr>
        <w:t xml:space="preserve">. 5 п. 7 ст. 213.9 Закона о банкротстве (в ред. Федерального закона №107-ФЗ от 29.05.2024 г.), Финансовый управляющий впр</w:t>
      </w:r>
      <w:r>
        <w:rPr>
          <w:sz w:val="21"/>
          <w:szCs w:val="21"/>
        </w:rPr>
        <w:t xml:space="preserve">аве получать информацию об имуществе гражданина и его супруга, а также о счетах и вкладах (депозитах) гражданина и его супруга, в том числе по банковским картам, об остатках электронных денежных средств и о переводах электронных денежных средств от граждан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и юридических лиц (включая кредитные организации), от органов государственной власти, органов местного самоуправления </w:t>
      </w:r>
      <w:r>
        <w:rPr>
          <w:b/>
          <w:bCs/>
          <w:sz w:val="21"/>
          <w:szCs w:val="21"/>
          <w:u w:val="single"/>
        </w:rPr>
        <w:t xml:space="preserve">без предварительного обращения в Арбитражный суд</w:t>
      </w:r>
      <w:r>
        <w:rPr>
          <w:b/>
          <w:bCs/>
          <w:sz w:val="21"/>
          <w:szCs w:val="21"/>
        </w:rPr>
        <w:t xml:space="preserve">,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прошу предоставить информацию по учетам ГИМС МЧС России о наличии маломерных судов, зарегистрированных за </w:t>
      </w:r>
      <w:r>
        <w:rPr>
          <w:b/>
          <w:sz w:val="21"/>
          <w:szCs w:val="21"/>
        </w:rPr>
        <w:t xml:space="preserve">должником</w:t>
      </w:r>
      <w:r>
        <w:rPr>
          <w:b/>
          <w:color w:val="00b050"/>
          <w:sz w:val="21"/>
          <w:szCs w:val="21"/>
          <w:lang w:val="en-US"/>
        </w:rPr>
        <w:t xml:space="preserve"> </w:t>
      </w:r>
      <w:r>
        <w:rPr>
          <w:b/>
          <w:color w:val="00b050"/>
          <w:sz w:val="21"/>
          <w:szCs w:val="21"/>
        </w:rPr>
        <w:t xml:space="preserve">{{spouseExtended}}</w:t>
      </w:r>
      <w:r>
        <w:rPr>
          <w:b/>
          <w:iCs/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а также указать действия, которые осуществлялись по распоряжению принадлежащим должнику имуществом</w:t>
      </w:r>
      <w:r>
        <w:rPr>
          <w:b/>
          <w:color w:val="00b050"/>
          <w:sz w:val="21"/>
          <w:szCs w:val="21"/>
          <w:lang w:val="en-US"/>
        </w:rPr>
        <w:t xml:space="preserve"> </w:t>
      </w:r>
      <w:r>
        <w:rPr>
          <w:b/>
          <w:color w:val="00b050"/>
          <w:sz w:val="21"/>
          <w:szCs w:val="21"/>
        </w:rPr>
        <w:t xml:space="preserve">{{spouseExtended}}</w:t>
      </w:r>
      <w:r>
        <w:rPr>
          <w:b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за ТРИ ГОДА до возбуждения</w:t>
      </w:r>
      <w:r>
        <w:rPr>
          <w:b/>
          <w:bCs/>
          <w:sz w:val="21"/>
          <w:szCs w:val="21"/>
        </w:rPr>
        <w:t xml:space="preserve"> дела о банкротстве по настоящее время, с приложением копий документов, на основании которых совершались регистрационные действия</w:t>
      </w:r>
      <w:r>
        <w:rPr>
          <w:b/>
          <w:sz w:val="21"/>
          <w:szCs w:val="21"/>
        </w:rPr>
        <w:t xml:space="preserve">.</w:t>
      </w:r>
      <w:r>
        <w:rPr>
          <w:b/>
          <w:sz w:val="21"/>
          <w:szCs w:val="21"/>
        </w:rPr>
      </w:r>
      <w:r>
        <w:rPr>
          <w:b/>
          <w:sz w:val="21"/>
          <w:szCs w:val="21"/>
        </w:rPr>
      </w:r>
    </w:p>
    <w:p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Напоминаю, что в соответствии с п. 1 ст</w:t>
      </w:r>
      <w:r>
        <w:rPr>
          <w:sz w:val="22"/>
          <w:szCs w:val="22"/>
        </w:rPr>
        <w:t xml:space="preserve">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>
        <w:rPr>
          <w:b/>
          <w:sz w:val="22"/>
          <w:szCs w:val="22"/>
          <w:u w:val="single"/>
        </w:rPr>
        <w:t xml:space="preserve">в течение семи дней</w:t>
      </w:r>
      <w:r>
        <w:rPr>
          <w:sz w:val="22"/>
          <w:szCs w:val="22"/>
        </w:rPr>
        <w:t xml:space="preserve"> со дня получения запроса без взимания платы.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120" w:before="120"/>
        <w:ind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О</w:t>
      </w:r>
      <w:r>
        <w:rPr>
          <w:b/>
          <w:sz w:val="22"/>
          <w:szCs w:val="22"/>
        </w:rPr>
        <w:t xml:space="preserve">твет</w:t>
      </w:r>
      <w:r>
        <w:rPr>
          <w:b/>
          <w:bCs/>
          <w:color w:val="222222"/>
          <w:sz w:val="22"/>
          <w:szCs w:val="22"/>
        </w:rPr>
        <w:t xml:space="preserve"> на запрос </w:t>
      </w:r>
      <w:r>
        <w:rPr>
          <w:b/>
          <w:bCs/>
          <w:color w:val="222222"/>
          <w:sz w:val="22"/>
          <w:szCs w:val="22"/>
        </w:rPr>
        <w:t xml:space="preserve">и к</w:t>
      </w:r>
      <w:r>
        <w:rPr>
          <w:b/>
          <w:bCs/>
          <w:color w:val="222222"/>
          <w:sz w:val="22"/>
          <w:szCs w:val="22"/>
        </w:rPr>
        <w:t xml:space="preserve">опи</w:t>
      </w:r>
      <w:r>
        <w:rPr>
          <w:b/>
          <w:bCs/>
          <w:color w:val="222222"/>
          <w:sz w:val="22"/>
          <w:szCs w:val="22"/>
        </w:rPr>
        <w:t xml:space="preserve">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 xml:space="preserve">документов </w:t>
      </w:r>
      <w:r>
        <w:rPr>
          <w:b/>
          <w:bCs/>
          <w:color w:val="222222"/>
          <w:sz w:val="22"/>
          <w:szCs w:val="22"/>
        </w:rPr>
        <w:t xml:space="preserve">прошу направить </w:t>
      </w:r>
      <w:r>
        <w:rPr>
          <w:b/>
          <w:bCs/>
          <w:color w:val="222222"/>
          <w:sz w:val="22"/>
          <w:szCs w:val="22"/>
        </w:rPr>
        <w:t xml:space="preserve">по</w:t>
      </w:r>
      <w:r>
        <w:rPr>
          <w:b/>
          <w:bCs/>
          <w:color w:val="222222"/>
          <w:sz w:val="22"/>
          <w:szCs w:val="22"/>
        </w:rPr>
        <w:t xml:space="preserve"> адрес</w:t>
      </w:r>
      <w:r>
        <w:rPr>
          <w:b/>
          <w:bCs/>
          <w:color w:val="222222"/>
          <w:sz w:val="22"/>
          <w:szCs w:val="22"/>
        </w:rPr>
        <w:t xml:space="preserve">у</w:t>
      </w:r>
      <w:r>
        <w:rPr>
          <w:b/>
          <w:bCs/>
          <w:color w:val="222222"/>
          <w:sz w:val="22"/>
          <w:szCs w:val="22"/>
        </w:rPr>
        <w:t xml:space="preserve"> электронной почты: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color w:val="0070c0"/>
          <w:lang w:val="en-US"/>
        </w:rPr>
        <w:t xml:space="preserve">{{</w:t>
      </w:r>
      <w:r>
        <w:rPr>
          <w:color w:val="0070c0"/>
          <w:lang w:val="en-US"/>
        </w:rPr>
        <w:t xml:space="preserve">financialManager</w:t>
      </w:r>
      <w:r>
        <w:rPr>
          <w:color w:val="0070c0"/>
          <w:lang w:val="en-US"/>
        </w:rPr>
        <w:t xml:space="preserve">.email}}</w:t>
      </w:r>
      <w:r>
        <w:rPr>
          <w:b/>
          <w:sz w:val="22"/>
          <w:szCs w:val="22"/>
          <w:u w:val="single"/>
        </w:rPr>
      </w:r>
      <w:r>
        <w:rPr>
          <w:b/>
          <w:sz w:val="22"/>
          <w:szCs w:val="22"/>
          <w:u w:val="single"/>
        </w:rPr>
      </w:r>
    </w:p>
    <w:p>
      <w:pPr>
        <w:pBdr/>
        <w:spacing/>
        <w:ind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При</w:t>
      </w:r>
      <w:r>
        <w:rPr>
          <w:color w:val="222222"/>
          <w:sz w:val="22"/>
          <w:szCs w:val="22"/>
        </w:rPr>
        <w:t xml:space="preserve"> отсутствия технической возможности отправки документа по электронной почте, прошу направить его заказным письмом по адресу:</w:t>
      </w:r>
      <w:r>
        <w:rPr>
          <w:color w:val="222222"/>
          <w:sz w:val="22"/>
          <w:szCs w:val="22"/>
        </w:rPr>
        <w:t xml:space="preserve"> </w:t>
      </w:r>
      <w:r>
        <w:rPr>
          <w:b/>
          <w:color w:val="00b050"/>
          <w:sz w:val="22"/>
          <w:szCs w:val="22"/>
          <w:u w:val="single"/>
          <w:lang w:val="en-US"/>
        </w:rPr>
        <w:t xml:space="preserve">{{</w:t>
      </w:r>
      <w:r>
        <w:rPr>
          <w:b/>
          <w:color w:val="00b050"/>
          <w:sz w:val="22"/>
          <w:szCs w:val="22"/>
          <w:u w:val="single"/>
          <w:lang w:val="en-US"/>
        </w:rPr>
        <w:t xml:space="preserve">correspondenceAddress</w:t>
      </w:r>
      <w:r>
        <w:rPr>
          <w:b/>
          <w:color w:val="00b050"/>
          <w:sz w:val="22"/>
          <w:szCs w:val="22"/>
          <w:u w:val="single"/>
          <w:lang w:val="en-US"/>
        </w:rPr>
        <w:t xml:space="preserve">}}</w:t>
      </w:r>
      <w:r>
        <w:rPr>
          <w:sz w:val="22"/>
          <w:szCs w:val="22"/>
        </w:rPr>
        <w:t xml:space="preserve">.</w:t>
      </w:r>
      <w:r>
        <w:rPr>
          <w:color w:val="222222"/>
          <w:sz w:val="22"/>
          <w:szCs w:val="22"/>
        </w:rPr>
      </w:r>
      <w:r>
        <w:rPr>
          <w:color w:val="222222"/>
          <w:sz w:val="22"/>
          <w:szCs w:val="22"/>
        </w:rPr>
      </w:r>
    </w:p>
    <w:p>
      <w:pPr>
        <w:pBdr/>
        <w:spacing w:before="120"/>
        <w:ind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При возниконовении вопросов, просьба связаться со мной по номеру телефона: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center"/>
        <w:rPr>
          <w:sz w:val="22"/>
          <w:szCs w:val="22"/>
        </w:rPr>
      </w:pPr>
      <w:r>
        <w:rPr>
          <w:b/>
          <w:color w:val="0070c0"/>
          <w:sz w:val="22"/>
          <w:szCs w:val="22"/>
          <w:u w:val="single"/>
          <w:lang w:val="en-US"/>
        </w:rPr>
        <w:t xml:space="preserve">{{</w:t>
      </w:r>
      <w:r>
        <w:rPr>
          <w:b/>
          <w:color w:val="0070c0"/>
          <w:sz w:val="22"/>
          <w:szCs w:val="22"/>
          <w:u w:val="single"/>
          <w:lang w:val="en-US"/>
        </w:rPr>
        <w:t xml:space="preserve">financialManager</w:t>
      </w:r>
      <w:r>
        <w:rPr>
          <w:b/>
          <w:color w:val="0070c0"/>
          <w:sz w:val="22"/>
          <w:szCs w:val="22"/>
          <w:u w:val="single"/>
          <w:lang w:val="en-US"/>
        </w:rPr>
        <w:t xml:space="preserve">.phone}}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both"/>
        <w:rPr>
          <w:i/>
          <w:sz w:val="22"/>
          <w:szCs w:val="22"/>
          <w:u w:val="single"/>
        </w:rPr>
      </w:pPr>
      <w:r>
        <w:rPr>
          <w:i/>
          <w:sz w:val="22"/>
          <w:szCs w:val="22"/>
          <w:u w:val="single"/>
        </w:rPr>
        <w:t xml:space="preserve">Обращаю внимание, что в соответствии с ФЗ №107 от 29.05.2024 г., запрашиваемые сведения должны предоставляться </w:t>
      </w:r>
      <w:r>
        <w:rPr>
          <w:i/>
          <w:sz w:val="22"/>
          <w:szCs w:val="22"/>
          <w:u w:val="single"/>
        </w:rPr>
        <w:t xml:space="preserve">орган</w:t>
      </w:r>
      <w:r>
        <w:rPr>
          <w:i/>
          <w:sz w:val="22"/>
          <w:szCs w:val="22"/>
          <w:u w:val="single"/>
        </w:rPr>
        <w:t xml:space="preserve">ами</w:t>
      </w:r>
      <w:r>
        <w:rPr>
          <w:i/>
          <w:sz w:val="22"/>
          <w:szCs w:val="22"/>
          <w:u w:val="single"/>
        </w:rPr>
        <w:t xml:space="preserve"> государственной власти</w:t>
      </w:r>
      <w:r>
        <w:rPr>
          <w:i/>
          <w:sz w:val="22"/>
          <w:szCs w:val="22"/>
          <w:u w:val="single"/>
        </w:rPr>
        <w:t xml:space="preserve"> и</w:t>
      </w:r>
      <w:r>
        <w:rPr>
          <w:i/>
          <w:sz w:val="22"/>
          <w:szCs w:val="22"/>
          <w:u w:val="single"/>
        </w:rPr>
        <w:t xml:space="preserve"> местного самоуправления без предварительного обращения </w:t>
      </w:r>
      <w:r>
        <w:rPr>
          <w:i/>
          <w:sz w:val="22"/>
          <w:szCs w:val="22"/>
          <w:u w:val="single"/>
        </w:rPr>
        <w:t xml:space="preserve">финансового управляющего </w:t>
      </w:r>
      <w:r>
        <w:rPr>
          <w:i/>
          <w:sz w:val="22"/>
          <w:szCs w:val="22"/>
          <w:u w:val="single"/>
        </w:rPr>
        <w:t xml:space="preserve">в </w:t>
      </w:r>
      <w:r>
        <w:rPr>
          <w:i/>
          <w:sz w:val="22"/>
          <w:szCs w:val="22"/>
          <w:u w:val="single"/>
        </w:rPr>
        <w:t xml:space="preserve">А</w:t>
      </w:r>
      <w:r>
        <w:rPr>
          <w:i/>
          <w:sz w:val="22"/>
          <w:szCs w:val="22"/>
          <w:u w:val="single"/>
        </w:rPr>
        <w:t xml:space="preserve">рбитражный суд</w:t>
      </w:r>
      <w:r>
        <w:rPr>
          <w:i/>
          <w:sz w:val="22"/>
          <w:szCs w:val="22"/>
          <w:u w:val="single"/>
        </w:rPr>
        <w:t xml:space="preserve">. В случае непредоставления (отказа от предоставления) сведений в течение семи календарных дней, финансовым управляющим будет подано заявление о привлечении должностного лица к административной ответственности, в соответствии с ч.4, ст.14.13 КоАП.</w:t>
      </w:r>
      <w:r>
        <w:rPr>
          <w:i/>
          <w:sz w:val="22"/>
          <w:szCs w:val="22"/>
          <w:u w:val="single"/>
        </w:rPr>
        <w:t xml:space="preserve"> </w:t>
      </w:r>
      <w:r>
        <w:rPr>
          <w:i/>
          <w:sz w:val="22"/>
          <w:szCs w:val="22"/>
          <w:u w:val="single"/>
        </w:rPr>
      </w:r>
      <w:r>
        <w:rPr>
          <w:i/>
          <w:sz w:val="22"/>
          <w:szCs w:val="22"/>
          <w:u w:val="single"/>
        </w:rPr>
      </w:r>
    </w:p>
    <w:p>
      <w:pPr>
        <w:pBdr/>
        <w:spacing/>
        <w:ind/>
        <w:jc w:val="both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Приложение: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 w:left="709"/>
        <w:jc w:val="both"/>
        <w:rPr>
          <w:color w:val="ff0000"/>
          <w:sz w:val="18"/>
          <w:szCs w:val="18"/>
        </w:rPr>
      </w:pPr>
      <w:r>
        <w:rPr>
          <w:color w:val="00b050"/>
          <w:sz w:val="18"/>
          <w:szCs w:val="18"/>
        </w:rPr>
        <w:t xml:space="preserve">Копия {{resolutionPart}} решения Арбитражного суда {{court.shortName}} от {{procedureInitiationDateForPublication}} по делу № {{</w:t>
      </w:r>
      <w:r>
        <w:rPr>
          <w:color w:val="00b050"/>
          <w:sz w:val="18"/>
          <w:szCs w:val="18"/>
          <w:lang w:val="en-US"/>
        </w:rPr>
        <w:t xml:space="preserve">c</w:t>
      </w:r>
      <w:r>
        <w:rPr>
          <w:color w:val="00b050"/>
          <w:sz w:val="18"/>
          <w:szCs w:val="18"/>
        </w:rPr>
        <w:t xml:space="preserve">aseNumber}}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  <w:p>
      <w:pPr>
        <w:pBdr/>
        <w:spacing/>
        <w:ind w:left="851"/>
        <w:jc w:val="both"/>
        <w:rPr>
          <w:rFonts w:cs="Calibri"/>
          <w:color w:val="7030a0"/>
          <w:sz w:val="18"/>
          <w:szCs w:val="18"/>
        </w:rPr>
      </w:pPr>
      <w:r>
        <w:rPr>
          <w:rFonts w:cs="Calibri"/>
          <w:color w:val="7030a0"/>
          <w:sz w:val="18"/>
          <w:szCs w:val="18"/>
        </w:rPr>
        <w:t xml:space="preserve">Копия свидетельства о заключении (расторжении) брака</w:t>
      </w:r>
      <w:r>
        <w:rPr>
          <w:rFonts w:cs="Calibri"/>
          <w:color w:val="7030a0"/>
          <w:sz w:val="18"/>
          <w:szCs w:val="18"/>
        </w:rPr>
      </w:r>
      <w:r>
        <w:rPr>
          <w:rFonts w:cs="Calibri"/>
          <w:color w:val="7030a0"/>
          <w:sz w:val="18"/>
          <w:szCs w:val="18"/>
        </w:rPr>
      </w:r>
    </w:p>
    <w:p>
      <w:pPr>
        <w:pBdr/>
        <w:spacing/>
        <w:ind w:left="709"/>
        <w:jc w:val="both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  <w:p>
      <w:pPr>
        <w:pBdr/>
        <w:spacing/>
        <w:ind/>
        <w:jc w:val="both"/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</w:r>
      <w:r>
        <w:rPr>
          <w:rFonts w:cs="Calibri"/>
          <w:sz w:val="18"/>
          <w:szCs w:val="18"/>
        </w:rPr>
      </w:r>
      <w:r>
        <w:rPr>
          <w:rFonts w:cs="Calibri"/>
          <w:sz w:val="18"/>
          <w:szCs w:val="18"/>
        </w:rPr>
      </w:r>
    </w:p>
    <w:p>
      <w:pPr>
        <w:pBdr/>
        <w:spacing/>
        <w:ind w:left="709"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W w:w="5000" w:type="pct"/>
        <w:tblCellMar>
          <w:left w:w="0" w:type="dxa"/>
          <w:right w:w="0" w:type="dxa"/>
        </w:tblCellMar>
        <w:tblBorders/>
        <w:tblCellSpacing w:w="0" w:type="dxa"/>
        <w:tblLook w:val="04A0" w:firstRow="1" w:lastRow="0" w:firstColumn="1" w:lastColumn="0" w:noHBand="0" w:noVBand="1"/>
      </w:tblPr>
      <w:tblGrid>
        <w:gridCol w:w="5199"/>
        <w:gridCol w:w="67"/>
        <w:gridCol w:w="5200"/>
      </w:tblGrid>
      <w:tr>
        <w:trPr>
          <w:tblCellSpacing w:w="0" w:type="dxa"/>
        </w:trPr>
        <w:tc>
          <w:tcPr>
            <w:tcBorders/>
            <w:tcW w:w="2484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Арбитражный управляющий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 </w:t>
            </w:r>
            <w:r/>
          </w:p>
        </w:tc>
        <w:tc>
          <w:tcPr>
            <w:tcBorders/>
            <w:tcW w:w="2484" w:type="pct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/>
              </w:rPr>
            </w:pPr>
            <w:r>
              <w:rPr>
                <w:b/>
              </w:rPr>
              <w:t xml:space="preserve">   </w:t>
            </w:r>
            <w:r>
              <w:rPr>
                <w:b/>
                <w:color w:val="00b050"/>
              </w:rPr>
              <w:t xml:space="preserve">{{financialManager.shortFio}}</w:t>
            </w:r>
            <w:r>
              <w:rPr>
                <w:b/>
                <w:color w:val="00b050"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sz w:val="16"/>
          <w:szCs w:val="16"/>
        </w:rPr>
      </w:pPr>
      <w:r>
        <w:br w:type="page" w:clear="all"/>
      </w: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W w:w="0" w:type="auto"/>
        <w:tblBorders/>
        <w:tblLayout w:type="fixed"/>
        <w:tblpPr w:horzAnchor="margin" w:tblpXSpec="center" w:vertAnchor="text" w:tblpY="-491" w:leftFromText="180" w:topFromText="0" w:rightFromText="180" w:bottomFromText="0"/>
        <w:tblLook w:val="0000" w:firstRow="0" w:lastRow="0" w:firstColumn="0" w:lastColumn="0" w:noHBand="0" w:noVBand="0"/>
      </w:tblPr>
      <w:tblGrid>
        <w:gridCol w:w="9765"/>
      </w:tblGrid>
      <w:tr>
        <w:trPr>
          <w:trHeight w:val="222"/>
        </w:trPr>
        <w:tc>
          <w:tcPr>
            <w:shd w:val="clear" w:color="auto" w:fill="auto"/>
            <w:tcBorders>
              <w:bottom w:val="single" w:color="auto" w:sz="4" w:space="0"/>
            </w:tcBorders>
            <w:tcMar>
              <w:top w:w="200" w:type="dxa"/>
              <w:bottom w:w="140" w:type="dxa"/>
            </w:tcMar>
            <w:tcW w:w="976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Арбитражный управляющий </w:t>
            </w:r>
            <w:r>
              <w:rPr>
                <w:color w:val="00b050"/>
                <w:sz w:val="20"/>
                <w:szCs w:val="20"/>
              </w:rPr>
              <w:t xml:space="preserve">{{financialManager.fio}}</w:t>
            </w:r>
            <w:r>
              <w:rPr>
                <w:color w:val="00b050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602"/>
        </w:trPr>
        <w:tc>
          <w:tcPr>
            <w:tcBorders>
              <w:top w:val="single" w:color="auto" w:sz="4" w:space="0"/>
            </w:tcBorders>
            <w:tcMar>
              <w:top w:w="140" w:type="dxa"/>
              <w:bottom w:w="400" w:type="dxa"/>
            </w:tcMar>
            <w:tcW w:w="9765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color w:val="00b050"/>
                <w:sz w:val="19"/>
              </w:rPr>
            </w:r>
          </w:p>
        </w:tc>
      </w:tr>
    </w:tbl>
    <w:p>
      <w:pPr>
        <w:pBdr/>
        <w:spacing/>
        <w:ind/>
        <w:rPr>
          <w:vanish/>
        </w:rPr>
      </w:pPr>
      <w:r>
        <w:rPr>
          <w:vanish/>
        </w:rPr>
      </w:r>
      <w:r>
        <w:rPr>
          <w:vanish/>
        </w:rPr>
      </w:r>
      <w:r>
        <w:rPr>
          <w:vanish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52"/>
        <w:gridCol w:w="6946"/>
      </w:tblGrid>
      <w:tr>
        <w:trPr/>
        <w:tc>
          <w:tcPr>
            <w:shd w:val="clear" w:color="auto" w:fill="auto"/>
            <w:tcBorders/>
            <w:tcW w:w="3652" w:type="dxa"/>
            <w:textDirection w:val="lrTb"/>
            <w:noWrap w:val="false"/>
          </w:tcPr>
          <w:p>
            <w:pPr>
              <w:pBdr/>
              <w:spacing w:after="240" w:before="240"/>
              <w:ind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6946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/>
                <w:color w:val="00b050"/>
                <w:sz w:val="22"/>
                <w:szCs w:val="22"/>
              </w:rPr>
            </w:pPr>
            <w:r>
              <w:rPr>
                <w:b/>
                <w:color w:val="00b050"/>
                <w:sz w:val="22"/>
                <w:szCs w:val="22"/>
                <w:lang w:val="en-US"/>
              </w:rPr>
              <w:t xml:space="preserve">{{</w:t>
            </w:r>
            <w:r>
              <w:rPr>
                <w:b/>
                <w:color w:val="00b050"/>
                <w:sz w:val="22"/>
                <w:szCs w:val="22"/>
                <w:lang w:val="en-US"/>
              </w:rPr>
              <w:t xml:space="preserve">procedureInitiationGostekhnadzor.name</w:t>
            </w:r>
            <w:r>
              <w:rPr>
                <w:b/>
                <w:color w:val="00b050"/>
                <w:sz w:val="22"/>
                <w:szCs w:val="22"/>
                <w:lang w:val="en-US"/>
              </w:rPr>
              <w:t xml:space="preserve">}}</w:t>
            </w:r>
            <w:r>
              <w:rPr>
                <w:b/>
                <w:color w:val="00b050"/>
                <w:sz w:val="22"/>
                <w:szCs w:val="22"/>
              </w:rPr>
            </w:r>
            <w:r>
              <w:rPr>
                <w:b/>
                <w:color w:val="00b050"/>
                <w:sz w:val="22"/>
                <w:szCs w:val="22"/>
              </w:rPr>
            </w:r>
          </w:p>
          <w:p>
            <w:pPr>
              <w:pBdr/>
              <w:spacing w:before="120"/>
              <w:ind/>
              <w:jc w:val="right"/>
              <w:rPr>
                <w:b/>
                <w:color w:val="00b050"/>
                <w:sz w:val="20"/>
                <w:szCs w:val="20"/>
              </w:rPr>
            </w:pP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procedureInitiationGostekhnadzor.address</w:t>
            </w:r>
            <w:r>
              <w:rPr>
                <w:b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b/>
                <w:color w:val="00b050"/>
                <w:sz w:val="20"/>
                <w:szCs w:val="20"/>
              </w:rPr>
            </w:r>
            <w:r>
              <w:rPr>
                <w:b/>
                <w:color w:val="00b050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Bdr/>
        <w:spacing/>
        <w:ind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Запрос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Bdr/>
        <w:spacing/>
        <w:ind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Bdr/>
        <w:spacing/>
        <w:ind w:firstLine="708"/>
        <w:jc w:val="both"/>
        <w:rPr>
          <w:rFonts w:cs="Calibri"/>
          <w:color w:val="00b050"/>
          <w:sz w:val="22"/>
          <w:szCs w:val="22"/>
        </w:rPr>
      </w:pPr>
      <w:r>
        <w:rPr>
          <w:rFonts w:cs="Calibri"/>
          <w:color w:val="00b050"/>
          <w:sz w:val="22"/>
          <w:szCs w:val="22"/>
        </w:rPr>
        <w:t xml:space="preserve">{{startNotificationText}}</w:t>
      </w:r>
      <w:r>
        <w:rPr>
          <w:rFonts w:cs="Calibri"/>
          <w:color w:val="00b050"/>
          <w:sz w:val="22"/>
          <w:szCs w:val="22"/>
        </w:rPr>
      </w:r>
      <w:r>
        <w:rPr>
          <w:rFonts w:cs="Calibri"/>
          <w:color w:val="00b050"/>
          <w:sz w:val="22"/>
          <w:szCs w:val="22"/>
        </w:rPr>
      </w:r>
    </w:p>
    <w:p>
      <w:pPr>
        <w:pBdr/>
        <w:spacing/>
        <w:ind w:firstLine="70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Финансовым управляющим утвержден </w:t>
      </w:r>
      <w:r>
        <w:rPr>
          <w:color w:val="00b050"/>
          <w:sz w:val="21"/>
          <w:szCs w:val="21"/>
          <w:lang w:val="en-US"/>
        </w:rPr>
        <w:t xml:space="preserve">{{</w:t>
      </w:r>
      <w:r>
        <w:rPr>
          <w:color w:val="00b050"/>
          <w:sz w:val="21"/>
          <w:szCs w:val="21"/>
          <w:lang w:val="en-US"/>
        </w:rPr>
        <w:t xml:space="preserve">FinancialManagerInfo</w:t>
      </w:r>
      <w:r>
        <w:rPr>
          <w:color w:val="00b050"/>
          <w:sz w:val="21"/>
          <w:szCs w:val="21"/>
          <w:lang w:val="en-US"/>
        </w:rPr>
        <w:t xml:space="preserve">}}</w:t>
      </w:r>
      <w:r>
        <w:rPr>
          <w:sz w:val="21"/>
          <w:szCs w:val="21"/>
        </w:rPr>
        <w:t xml:space="preserve">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Согласно п. 1 ст. 213.25 Закона</w:t>
      </w:r>
      <w:r>
        <w:rPr>
          <w:sz w:val="21"/>
          <w:szCs w:val="21"/>
        </w:rPr>
        <w:t xml:space="preserve"> о банкротстве все имущество гражданина, имеющееся на дату принятия решения суда о признании гражданина банкротом и введении реализации имущества гражданина и выявленное или приобретенное после даты принятия указанного решения, составляет конкурсную массу.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 w:firstLine="709"/>
        <w:jc w:val="both"/>
        <w:rPr>
          <w:b/>
          <w:color w:val="00b050"/>
          <w:sz w:val="21"/>
          <w:szCs w:val="21"/>
        </w:rPr>
      </w:pPr>
      <w:r>
        <w:rPr>
          <w:sz w:val="21"/>
          <w:szCs w:val="21"/>
        </w:rPr>
        <w:t xml:space="preserve">На основании </w:t>
      </w:r>
      <w:r>
        <w:rPr>
          <w:sz w:val="21"/>
          <w:szCs w:val="21"/>
        </w:rPr>
        <w:t xml:space="preserve">абз</w:t>
      </w:r>
      <w:r>
        <w:rPr>
          <w:sz w:val="21"/>
          <w:szCs w:val="21"/>
        </w:rPr>
        <w:t xml:space="preserve">. 5 п. 7 ст. 213.9 Закона о банкротстве (в ред. Федерального закона №107-ФЗ от 29.05.2024 г.), Финансовый управляющий впр</w:t>
      </w:r>
      <w:r>
        <w:rPr>
          <w:sz w:val="21"/>
          <w:szCs w:val="21"/>
        </w:rPr>
        <w:t xml:space="preserve">аве получать информацию об имуществе гражданина и его супруга, а также о счетах и вкладах (депозитах) гражданина и его супруга, в том числе по банковским картам, об остатках электронных денежных средств и о переводах электронных денежных средств от граждан</w:t>
      </w:r>
      <w:r>
        <w:rPr>
          <w:sz w:val="21"/>
          <w:szCs w:val="21"/>
        </w:rPr>
        <w:t xml:space="preserve"> и юридических лиц (включая кредитные организации), от органов государственной власти, органов местного самоуправления </w:t>
      </w:r>
      <w:r>
        <w:rPr>
          <w:b/>
          <w:bCs/>
          <w:sz w:val="21"/>
          <w:szCs w:val="21"/>
          <w:u w:val="single"/>
        </w:rPr>
        <w:t xml:space="preserve">без предварительного обращения в Арбитражный су</w:t>
      </w:r>
      <w:r>
        <w:rPr>
          <w:b/>
          <w:bCs/>
          <w:sz w:val="21"/>
          <w:szCs w:val="21"/>
          <w:u w:val="single"/>
        </w:rPr>
        <w:t xml:space="preserve">д</w:t>
      </w:r>
      <w:r>
        <w:rPr>
          <w:b/>
          <w:bCs/>
          <w:sz w:val="21"/>
          <w:szCs w:val="21"/>
        </w:rPr>
        <w:t xml:space="preserve">,</w:t>
      </w:r>
      <w:r>
        <w:rPr>
          <w:sz w:val="21"/>
          <w:szCs w:val="21"/>
        </w:rPr>
        <w:t xml:space="preserve"> </w:t>
      </w:r>
      <w:r>
        <w:rPr>
          <w:b/>
          <w:sz w:val="21"/>
          <w:szCs w:val="21"/>
        </w:rPr>
        <w:t xml:space="preserve">прошу сообщить следующую информацию в отношении </w:t>
      </w:r>
      <w:r>
        <w:rPr>
          <w:b/>
          <w:sz w:val="21"/>
          <w:szCs w:val="21"/>
        </w:rPr>
        <w:t xml:space="preserve">должника</w:t>
      </w:r>
      <w:r>
        <w:rPr>
          <w:b/>
          <w:sz w:val="21"/>
          <w:szCs w:val="21"/>
        </w:rPr>
        <w:t xml:space="preserve"> </w:t>
      </w:r>
      <w:r>
        <w:rPr>
          <w:b/>
          <w:color w:val="00b050"/>
          <w:sz w:val="21"/>
          <w:szCs w:val="21"/>
        </w:rPr>
        <w:t xml:space="preserve">{{spouseExtended}}</w:t>
      </w:r>
      <w:r>
        <w:rPr>
          <w:b/>
          <w:color w:val="00b050"/>
          <w:sz w:val="21"/>
          <w:szCs w:val="21"/>
        </w:rPr>
        <w:t xml:space="preserve">:</w:t>
      </w:r>
      <w:r>
        <w:rPr>
          <w:b/>
          <w:color w:val="00b050"/>
          <w:sz w:val="21"/>
          <w:szCs w:val="21"/>
        </w:rPr>
      </w:r>
      <w:r>
        <w:rPr>
          <w:b/>
          <w:color w:val="00b050"/>
          <w:sz w:val="21"/>
          <w:szCs w:val="21"/>
        </w:rPr>
      </w:r>
    </w:p>
    <w:p>
      <w:pPr>
        <w:pBdr/>
        <w:spacing/>
        <w:ind w:firstLine="709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pBdr/>
        <w:spacing/>
        <w:ind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>
        <w:rPr>
          <w:b/>
          <w:sz w:val="21"/>
          <w:szCs w:val="21"/>
          <w:u w:val="single"/>
        </w:rPr>
        <w:t xml:space="preserve">о тракторах, самоходных машинах и прицепах к ним, иной технике, зарегистрированной за должником</w:t>
      </w:r>
      <w:r>
        <w:rPr>
          <w:sz w:val="21"/>
          <w:szCs w:val="21"/>
        </w:rPr>
        <w:t xml:space="preserve">;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>
        <w:rPr>
          <w:b/>
          <w:sz w:val="21"/>
          <w:szCs w:val="21"/>
          <w:u w:val="single"/>
        </w:rPr>
        <w:t xml:space="preserve">о наличии арестов, залогов, иных обременений зарегистрированной за должником техники</w:t>
      </w:r>
      <w:r>
        <w:rPr>
          <w:sz w:val="21"/>
          <w:szCs w:val="21"/>
        </w:rPr>
        <w:t xml:space="preserve">; 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/>
        <w:jc w:val="both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>
        <w:rPr>
          <w:b/>
          <w:sz w:val="21"/>
          <w:szCs w:val="21"/>
          <w:u w:val="single"/>
        </w:rPr>
        <w:t xml:space="preserve">о тракторах, самоходных машинах, иной технике, числившейся за должником и </w:t>
      </w:r>
      <w:r>
        <w:rPr>
          <w:b/>
          <w:bCs/>
          <w:sz w:val="21"/>
          <w:szCs w:val="21"/>
          <w:u w:val="single"/>
        </w:rPr>
        <w:t xml:space="preserve">снятых с учета за ТРИ ГОДА до возбуждения дела о банкротстве по настоящее время, с приложением копий документов, на основании которых совершались регистрационные действия</w:t>
      </w:r>
      <w:r>
        <w:rPr>
          <w:sz w:val="21"/>
          <w:szCs w:val="21"/>
        </w:rPr>
        <w:t xml:space="preserve">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/>
        <w:ind w:firstLine="708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Напоминаю, что в соответствии с п. 1 ст</w:t>
      </w:r>
      <w:r>
        <w:rPr>
          <w:sz w:val="21"/>
          <w:szCs w:val="21"/>
        </w:rPr>
        <w:t xml:space="preserve">. 20.3 Закона о банкротстве 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>
        <w:rPr>
          <w:b/>
          <w:sz w:val="21"/>
          <w:szCs w:val="21"/>
          <w:u w:val="single"/>
        </w:rPr>
        <w:t xml:space="preserve">в течение семи дней</w:t>
      </w:r>
      <w:r>
        <w:rPr>
          <w:sz w:val="21"/>
          <w:szCs w:val="21"/>
        </w:rPr>
        <w:t xml:space="preserve"> со дня получения запроса без взимания платы.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pBdr/>
        <w:spacing w:after="120" w:before="120"/>
        <w:ind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О</w:t>
      </w:r>
      <w:r>
        <w:rPr>
          <w:b/>
          <w:sz w:val="22"/>
          <w:szCs w:val="22"/>
        </w:rPr>
        <w:t xml:space="preserve">твет</w:t>
      </w:r>
      <w:r>
        <w:rPr>
          <w:b/>
          <w:bCs/>
          <w:color w:val="222222"/>
          <w:sz w:val="22"/>
          <w:szCs w:val="22"/>
        </w:rPr>
        <w:t xml:space="preserve"> на запрос </w:t>
      </w:r>
      <w:r>
        <w:rPr>
          <w:b/>
          <w:bCs/>
          <w:color w:val="222222"/>
          <w:sz w:val="22"/>
          <w:szCs w:val="22"/>
        </w:rPr>
        <w:t xml:space="preserve">и к</w:t>
      </w:r>
      <w:r>
        <w:rPr>
          <w:b/>
          <w:bCs/>
          <w:color w:val="222222"/>
          <w:sz w:val="22"/>
          <w:szCs w:val="22"/>
        </w:rPr>
        <w:t xml:space="preserve">опи</w:t>
      </w:r>
      <w:r>
        <w:rPr>
          <w:b/>
          <w:bCs/>
          <w:color w:val="222222"/>
          <w:sz w:val="22"/>
          <w:szCs w:val="22"/>
        </w:rPr>
        <w:t xml:space="preserve">и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 xml:space="preserve">документов </w:t>
      </w:r>
      <w:r>
        <w:rPr>
          <w:b/>
          <w:bCs/>
          <w:color w:val="222222"/>
          <w:sz w:val="22"/>
          <w:szCs w:val="22"/>
        </w:rPr>
        <w:t xml:space="preserve">прошу направить </w:t>
      </w:r>
      <w:r>
        <w:rPr>
          <w:b/>
          <w:bCs/>
          <w:color w:val="222222"/>
          <w:sz w:val="22"/>
          <w:szCs w:val="22"/>
        </w:rPr>
        <w:t xml:space="preserve">по</w:t>
      </w:r>
      <w:r>
        <w:rPr>
          <w:b/>
          <w:bCs/>
          <w:color w:val="222222"/>
          <w:sz w:val="22"/>
          <w:szCs w:val="22"/>
        </w:rPr>
        <w:t xml:space="preserve"> адрес</w:t>
      </w:r>
      <w:r>
        <w:rPr>
          <w:b/>
          <w:bCs/>
          <w:color w:val="222222"/>
          <w:sz w:val="22"/>
          <w:szCs w:val="22"/>
        </w:rPr>
        <w:t xml:space="preserve">у</w:t>
      </w:r>
      <w:r>
        <w:rPr>
          <w:b/>
          <w:bCs/>
          <w:color w:val="222222"/>
          <w:sz w:val="22"/>
          <w:szCs w:val="22"/>
        </w:rPr>
        <w:t xml:space="preserve"> электронной почты: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color w:val="0070c0"/>
          <w:lang w:val="en-US"/>
        </w:rPr>
        <w:t xml:space="preserve">{{</w:t>
      </w:r>
      <w:r>
        <w:rPr>
          <w:color w:val="0070c0"/>
          <w:lang w:val="en-US"/>
        </w:rPr>
        <w:t xml:space="preserve">financialManager</w:t>
      </w:r>
      <w:r>
        <w:rPr>
          <w:color w:val="0070c0"/>
          <w:lang w:val="en-US"/>
        </w:rPr>
        <w:t xml:space="preserve">.email}}</w:t>
      </w:r>
      <w:r>
        <w:rPr>
          <w:b/>
          <w:sz w:val="22"/>
          <w:szCs w:val="22"/>
          <w:u w:val="single"/>
        </w:rPr>
      </w:r>
      <w:r>
        <w:rPr>
          <w:b/>
          <w:sz w:val="22"/>
          <w:szCs w:val="22"/>
          <w:u w:val="single"/>
        </w:rPr>
      </w:r>
    </w:p>
    <w:p>
      <w:pPr>
        <w:pBdr/>
        <w:spacing/>
        <w:ind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При</w:t>
      </w:r>
      <w:r>
        <w:rPr>
          <w:color w:val="222222"/>
          <w:sz w:val="22"/>
          <w:szCs w:val="22"/>
        </w:rPr>
        <w:t xml:space="preserve"> отсутствия технической возможности отправки документа по электронной почте, прошу направить его заказным письмом по адресу:</w:t>
      </w:r>
      <w:r>
        <w:rPr>
          <w:color w:val="222222"/>
          <w:sz w:val="22"/>
          <w:szCs w:val="22"/>
        </w:rPr>
        <w:t xml:space="preserve"> </w:t>
      </w:r>
      <w:r>
        <w:rPr>
          <w:b/>
          <w:color w:val="00b050"/>
          <w:sz w:val="22"/>
          <w:szCs w:val="22"/>
          <w:u w:val="single"/>
          <w:lang w:val="en-US"/>
        </w:rPr>
        <w:t xml:space="preserve">{{</w:t>
      </w:r>
      <w:r>
        <w:rPr>
          <w:b/>
          <w:color w:val="00b050"/>
          <w:sz w:val="22"/>
          <w:szCs w:val="22"/>
          <w:u w:val="single"/>
          <w:lang w:val="en-US"/>
        </w:rPr>
        <w:t xml:space="preserve">correspondenceAddress</w:t>
      </w:r>
      <w:r>
        <w:rPr>
          <w:b/>
          <w:color w:val="00b050"/>
          <w:sz w:val="22"/>
          <w:szCs w:val="22"/>
          <w:u w:val="single"/>
          <w:lang w:val="en-US"/>
        </w:rPr>
        <w:t xml:space="preserve">}}</w:t>
      </w:r>
      <w:r>
        <w:rPr>
          <w:sz w:val="22"/>
          <w:szCs w:val="22"/>
        </w:rPr>
        <w:t xml:space="preserve">.</w:t>
      </w:r>
      <w:r>
        <w:rPr>
          <w:color w:val="222222"/>
          <w:sz w:val="22"/>
          <w:szCs w:val="22"/>
        </w:rPr>
      </w:r>
      <w:r>
        <w:rPr>
          <w:color w:val="222222"/>
          <w:sz w:val="22"/>
          <w:szCs w:val="22"/>
        </w:rPr>
      </w:r>
    </w:p>
    <w:p>
      <w:pPr>
        <w:pBdr/>
        <w:spacing w:before="120"/>
        <w:ind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При возниконовении вопросов, просьба связаться со мной по номеру телефона: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center"/>
        <w:rPr>
          <w:b/>
          <w:color w:val="0070c0"/>
          <w:sz w:val="22"/>
          <w:szCs w:val="22"/>
          <w:u w:val="single"/>
        </w:rPr>
      </w:pPr>
      <w:r>
        <w:rPr>
          <w:b/>
          <w:color w:val="0070c0"/>
          <w:sz w:val="22"/>
          <w:szCs w:val="22"/>
          <w:u w:val="single"/>
          <w:lang w:val="en-US"/>
        </w:rPr>
        <w:t xml:space="preserve">{{</w:t>
      </w:r>
      <w:r>
        <w:rPr>
          <w:b/>
          <w:color w:val="0070c0"/>
          <w:sz w:val="22"/>
          <w:szCs w:val="22"/>
          <w:u w:val="single"/>
          <w:lang w:val="en-US"/>
        </w:rPr>
        <w:t xml:space="preserve">financialManager</w:t>
      </w:r>
      <w:r>
        <w:rPr>
          <w:b/>
          <w:color w:val="0070c0"/>
          <w:sz w:val="22"/>
          <w:szCs w:val="22"/>
          <w:u w:val="single"/>
          <w:lang w:val="en-US"/>
        </w:rPr>
        <w:t xml:space="preserve">.phone}}</w:t>
      </w:r>
      <w:r>
        <w:rPr>
          <w:b/>
          <w:color w:val="0070c0"/>
          <w:sz w:val="22"/>
          <w:szCs w:val="22"/>
          <w:u w:val="single"/>
        </w:rPr>
      </w:r>
      <w:r>
        <w:rPr>
          <w:b/>
          <w:color w:val="0070c0"/>
          <w:sz w:val="22"/>
          <w:szCs w:val="22"/>
          <w:u w:val="single"/>
        </w:rPr>
      </w:r>
    </w:p>
    <w:p>
      <w:pPr>
        <w:pBdr/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both"/>
        <w:rPr>
          <w:i/>
          <w:sz w:val="21"/>
          <w:szCs w:val="21"/>
          <w:u w:val="single"/>
        </w:rPr>
      </w:pPr>
      <w:r>
        <w:rPr>
          <w:i/>
          <w:sz w:val="21"/>
          <w:szCs w:val="21"/>
          <w:u w:val="single"/>
        </w:rPr>
        <w:t xml:space="preserve">Обращаю внимание, что в соответствии с ФЗ №107 от 29.05.2024 г., запрашиваемые сведения должны предоставляться органами государственной власти и местного самоуправления без предварительного обращения финансового управляющего в Арбитра</w:t>
      </w:r>
      <w:r>
        <w:rPr>
          <w:i/>
          <w:sz w:val="21"/>
          <w:szCs w:val="21"/>
          <w:u w:val="single"/>
        </w:rPr>
        <w:t xml:space="preserve">жный суд. В случае непредоставления (отказа от предоставления) сведений в течение семи календарных дней, финансовым управляющим будет подано заявление о привлечении должностного лица к административной ответственности, в соответствии с ч.4, ст.14.13 КоАП. </w:t>
      </w:r>
      <w:r>
        <w:rPr>
          <w:i/>
          <w:sz w:val="21"/>
          <w:szCs w:val="21"/>
          <w:u w:val="single"/>
        </w:rPr>
      </w:r>
      <w:r>
        <w:rPr>
          <w:i/>
          <w:sz w:val="21"/>
          <w:szCs w:val="21"/>
          <w:u w:val="single"/>
        </w:rPr>
      </w:r>
    </w:p>
    <w:p>
      <w:pPr>
        <w:pBdr/>
        <w:spacing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Приложение: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 w:left="851"/>
        <w:jc w:val="both"/>
        <w:rPr>
          <w:color w:val="00b050"/>
          <w:sz w:val="18"/>
          <w:szCs w:val="18"/>
        </w:rPr>
      </w:pPr>
      <w:r>
        <w:rPr>
          <w:color w:val="00b050"/>
          <w:sz w:val="18"/>
          <w:szCs w:val="18"/>
        </w:rPr>
        <w:t xml:space="preserve">Копия {{resolutionPart}} решения Арбитражного суда {{court.shortName}} от {{procedureInitiationDateForPublication}} по делу № {{</w:t>
      </w:r>
      <w:r>
        <w:rPr>
          <w:color w:val="00b050"/>
          <w:sz w:val="18"/>
          <w:szCs w:val="18"/>
          <w:lang w:val="en-US"/>
        </w:rPr>
        <w:t xml:space="preserve">c</w:t>
      </w:r>
      <w:r>
        <w:rPr>
          <w:color w:val="00b050"/>
          <w:sz w:val="18"/>
          <w:szCs w:val="18"/>
        </w:rPr>
        <w:t xml:space="preserve">aseNumber}}</w:t>
      </w:r>
      <w:r>
        <w:rPr>
          <w:color w:val="00b050"/>
          <w:sz w:val="18"/>
          <w:szCs w:val="18"/>
        </w:rPr>
      </w:r>
      <w:r>
        <w:rPr>
          <w:color w:val="00b050"/>
          <w:sz w:val="18"/>
          <w:szCs w:val="18"/>
        </w:rPr>
      </w:r>
    </w:p>
    <w:p>
      <w:pPr>
        <w:pBdr/>
        <w:spacing/>
        <w:ind w:left="851"/>
        <w:jc w:val="both"/>
        <w:rPr>
          <w:rFonts w:cs="Calibri"/>
          <w:color w:val="7030a0"/>
          <w:sz w:val="18"/>
          <w:szCs w:val="18"/>
        </w:rPr>
      </w:pPr>
      <w:r>
        <w:rPr>
          <w:rFonts w:cs="Calibri"/>
          <w:color w:val="7030a0"/>
          <w:sz w:val="18"/>
          <w:szCs w:val="18"/>
        </w:rPr>
        <w:t xml:space="preserve">Копия свидетельства о заключении (расторжении) брака</w:t>
      </w:r>
      <w:r>
        <w:rPr>
          <w:rFonts w:cs="Calibri"/>
          <w:color w:val="7030a0"/>
          <w:sz w:val="18"/>
          <w:szCs w:val="18"/>
        </w:rPr>
      </w:r>
      <w:r>
        <w:rPr>
          <w:rFonts w:cs="Calibri"/>
          <w:color w:val="7030a0"/>
          <w:sz w:val="18"/>
          <w:szCs w:val="18"/>
        </w:rPr>
      </w:r>
    </w:p>
    <w:p>
      <w:pPr>
        <w:pBdr/>
        <w:spacing/>
        <w:ind w:left="851"/>
        <w:jc w:val="both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  <w:p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W w:w="5000" w:type="pct"/>
        <w:tblCellMar>
          <w:left w:w="0" w:type="dxa"/>
          <w:right w:w="0" w:type="dxa"/>
        </w:tblCellMar>
        <w:tblBorders/>
        <w:tblCellSpacing w:w="0" w:type="dxa"/>
        <w:tblLook w:val="04A0" w:firstRow="1" w:lastRow="0" w:firstColumn="1" w:lastColumn="0" w:noHBand="0" w:noVBand="1"/>
      </w:tblPr>
      <w:tblGrid>
        <w:gridCol w:w="5199"/>
        <w:gridCol w:w="67"/>
        <w:gridCol w:w="5200"/>
      </w:tblGrid>
      <w:tr>
        <w:trPr>
          <w:tblCellSpacing w:w="0" w:type="dxa"/>
        </w:trPr>
        <w:tc>
          <w:tcPr>
            <w:tcBorders/>
            <w:tcW w:w="2484" w:type="pct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Арбитражный управляющий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 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484" w:type="pct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</w:t>
            </w:r>
            <w:r>
              <w:rPr>
                <w:b/>
                <w:color w:val="00b050"/>
                <w:lang w:val="en-US"/>
              </w:rPr>
              <w:t xml:space="preserve">{{</w:t>
            </w:r>
            <w:r>
              <w:rPr>
                <w:b/>
                <w:color w:val="00b050"/>
                <w:lang w:val="en-US"/>
              </w:rPr>
              <w:t xml:space="preserve">financialManager.shortFio</w:t>
            </w:r>
            <w:r>
              <w:rPr>
                <w:b/>
                <w:color w:val="00b050"/>
                <w:lang w:val="en-US"/>
              </w:rPr>
              <w:t xml:space="preserve">}}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sz w:val="16"/>
          <w:szCs w:val="16"/>
        </w:rPr>
      </w:pPr>
      <w:r>
        <w:br w:type="page" w:clear="all"/>
      </w: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pPr w:horzAnchor="margin" w:tblpXSpec="left" w:vertAnchor="margin" w:tblpY="-408" w:leftFromText="180" w:topFromText="0" w:rightFromText="180" w:bottomFromText="0"/>
        <w:tblLook w:val="04A0" w:firstRow="1" w:lastRow="0" w:firstColumn="1" w:lastColumn="0" w:noHBand="0" w:noVBand="1"/>
      </w:tblPr>
      <w:tblGrid>
        <w:gridCol w:w="3521"/>
        <w:gridCol w:w="6968"/>
      </w:tblGrid>
      <w:tr>
        <w:trPr>
          <w:trHeight w:val="250"/>
        </w:trPr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Mar>
              <w:top w:w="200" w:type="dxa"/>
              <w:bottom w:w="140" w:type="dxa"/>
            </w:tcMar>
            <w:tcW w:w="10489" w:type="dxa"/>
            <w:textDirection w:val="lrTb"/>
            <w:noWrap w:val="false"/>
          </w:tcPr>
          <w:p>
            <w:pPr>
              <w:pStyle w:val="912"/>
              <w:pBdr/>
              <w:spacing w:after="0" w:before="0"/>
              <w:ind/>
              <w:jc w:val="center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Арбитражный управляющий </w:t>
            </w:r>
            <w:r>
              <w:rPr>
                <w:color w:val="00b050"/>
                <w:sz w:val="20"/>
                <w:szCs w:val="20"/>
              </w:rPr>
              <w:t xml:space="preserve">{{financialManager.fio}}</w:t>
            </w:r>
            <w:r>
              <w:rPr>
                <w:bCs/>
                <w:color w:val="00b050"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</w:tr>
      <w:tr>
        <w:trPr>
          <w:trHeight w:val="20"/>
        </w:trPr>
        <w:tc>
          <w:tcPr>
            <w:gridSpan w:val="2"/>
            <w:shd w:val="clear" w:color="auto" w:fill="auto"/>
            <w:tcBorders>
              <w:left w:val="none" w:color="000000" w:sz="4" w:space="0"/>
              <w:right w:val="none" w:color="000000" w:sz="4" w:space="0"/>
            </w:tcBorders>
            <w:tcMar>
              <w:top w:w="200" w:type="dxa"/>
              <w:bottom w:w="140" w:type="dxa"/>
            </w:tcMar>
            <w:tcW w:w="10489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  <w:r>
              <w:rPr>
                <w:sz w:val="19"/>
              </w:rPr>
            </w:r>
            <w:r>
              <w:rPr>
                <w:sz w:val="22"/>
                <w:szCs w:val="22"/>
              </w:rPr>
            </w:r>
            <w:r>
              <w:rPr>
                <w:color w:val="00b050"/>
                <w:sz w:val="19"/>
              </w:rPr>
            </w:r>
          </w:p>
        </w:tc>
      </w:tr>
      <w:tr>
        <w:trPr>
          <w:trHeight w:val="644"/>
        </w:trPr>
        <w:tc>
          <w:tcPr>
            <w:shd w:val="clear" w:color="auto" w:fill="auto"/>
            <w:tcBorders/>
            <w:tcW w:w="3521" w:type="dxa"/>
            <w:textDirection w:val="lrTb"/>
            <w:noWrap w:val="false"/>
          </w:tcPr>
          <w:p>
            <w:pPr>
              <w:pStyle w:val="912"/>
              <w:pBdr/>
              <w:spacing w:after="0" w:before="120"/>
              <w:ind/>
              <w:rPr>
                <w:bCs/>
                <w:color w:val="00b050"/>
                <w:sz w:val="20"/>
                <w:szCs w:val="20"/>
              </w:rPr>
            </w:pPr>
            <w:r>
              <w:rPr>
                <w:bCs/>
                <w:color w:val="00b050"/>
                <w:sz w:val="20"/>
                <w:szCs w:val="20"/>
              </w:rPr>
            </w:r>
            <w:r>
              <w:rPr>
                <w:bCs/>
                <w:color w:val="00b050"/>
                <w:sz w:val="20"/>
                <w:szCs w:val="20"/>
              </w:rPr>
            </w:r>
            <w:r>
              <w:rPr>
                <w:bCs/>
                <w:color w:val="00b050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696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eastAsia="Calibri"/>
                <w:b/>
                <w:color w:val="00b050"/>
                <w:sz w:val="20"/>
                <w:szCs w:val="20"/>
              </w:rPr>
            </w:pPr>
            <w:r>
              <w:rPr>
                <w:rFonts w:eastAsia="Calibri"/>
                <w:b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eastAsia="Calibri"/>
                <w:b/>
                <w:color w:val="00b050"/>
                <w:sz w:val="20"/>
                <w:szCs w:val="20"/>
                <w:lang w:val="en-US"/>
              </w:rPr>
              <w:t xml:space="preserve">procedureInitiationFns.name</w:t>
            </w:r>
            <w:r>
              <w:rPr>
                <w:rFonts w:eastAsia="Calibri"/>
                <w:b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eastAsia="Calibri"/>
                <w:b/>
                <w:color w:val="00b050"/>
                <w:sz w:val="20"/>
                <w:szCs w:val="20"/>
              </w:rPr>
            </w:r>
            <w:r>
              <w:rPr>
                <w:rFonts w:eastAsia="Calibri"/>
                <w:b/>
                <w:color w:val="00b050"/>
                <w:sz w:val="20"/>
                <w:szCs w:val="20"/>
              </w:rPr>
            </w:r>
          </w:p>
          <w:p>
            <w:pPr>
              <w:pStyle w:val="911"/>
              <w:pBdr/>
              <w:spacing/>
              <w:ind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b050"/>
                <w:lang w:val="en-US"/>
              </w:rPr>
              <w:t xml:space="preserve">{{</w:t>
            </w:r>
            <w:r>
              <w:rPr>
                <w:rFonts w:ascii="Times New Roman" w:hAnsi="Times New Roman" w:cs="Times New Roman"/>
                <w:color w:val="00b050"/>
                <w:lang w:val="en-US"/>
              </w:rPr>
              <w:t xml:space="preserve">procedureInitiationFns</w:t>
            </w:r>
            <w:r>
              <w:rPr>
                <w:rFonts w:ascii="Times New Roman" w:hAnsi="Times New Roman" w:cs="Times New Roman"/>
                <w:color w:val="00b050"/>
                <w:lang w:val="en-US"/>
              </w:rPr>
              <w:t xml:space="preserve">.address}}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Bdr/>
        <w:spacing/>
        <w:ind w:firstLine="567"/>
        <w:contextualSpacing w:val="true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  <w:r>
        <w:rPr>
          <w:b/>
          <w:sz w:val="16"/>
          <w:szCs w:val="16"/>
        </w:rPr>
      </w:r>
      <w:r>
        <w:rPr>
          <w:b/>
          <w:sz w:val="16"/>
          <w:szCs w:val="16"/>
        </w:rPr>
      </w:r>
    </w:p>
    <w:p>
      <w:pPr>
        <w:pBdr/>
        <w:spacing/>
        <w:ind w:firstLine="567"/>
        <w:contextualSpacing w:val="true"/>
        <w:jc w:val="center"/>
        <w:rPr>
          <w:rFonts w:eastAsia="Calibri"/>
          <w:b/>
          <w:lang w:eastAsia="en-US"/>
        </w:rPr>
      </w:pPr>
      <w:r>
        <w:rPr>
          <w:b/>
        </w:rPr>
        <w:t xml:space="preserve">Запрос</w:t>
      </w:r>
      <w:r>
        <w:rPr>
          <w:rFonts w:eastAsia="Calibri"/>
          <w:b/>
          <w:lang w:eastAsia="en-US"/>
        </w:rPr>
      </w:r>
      <w:r>
        <w:rPr>
          <w:rFonts w:eastAsia="Calibri"/>
          <w:b/>
          <w:lang w:eastAsia="en-US"/>
        </w:rPr>
      </w:r>
    </w:p>
    <w:p>
      <w:pPr>
        <w:pBdr/>
        <w:spacing/>
        <w:ind w:firstLine="708"/>
        <w:jc w:val="both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</w:r>
      <w:r>
        <w:rPr>
          <w:rFonts w:cs="Calibri"/>
          <w:sz w:val="16"/>
          <w:szCs w:val="16"/>
        </w:rPr>
      </w:r>
      <w:r>
        <w:rPr>
          <w:rFonts w:cs="Calibri"/>
          <w:sz w:val="16"/>
          <w:szCs w:val="16"/>
        </w:rPr>
      </w:r>
    </w:p>
    <w:p>
      <w:pPr>
        <w:pBdr/>
        <w:spacing/>
        <w:ind w:firstLine="708"/>
        <w:jc w:val="both"/>
        <w:rPr>
          <w:rFonts w:cs="Calibri"/>
          <w:color w:val="00b050"/>
        </w:rPr>
      </w:pPr>
      <w:r>
        <w:rPr>
          <w:rFonts w:cs="Calibri"/>
          <w:color w:val="00b050"/>
        </w:rPr>
        <w:t xml:space="preserve">{{startNotificationText}}</w:t>
      </w:r>
      <w:r>
        <w:rPr>
          <w:rFonts w:cs="Calibri"/>
          <w:color w:val="00b050"/>
        </w:rPr>
      </w:r>
      <w:r>
        <w:rPr>
          <w:rFonts w:cs="Calibri"/>
          <w:color w:val="00b050"/>
        </w:rPr>
      </w:r>
    </w:p>
    <w:p>
      <w:pPr>
        <w:pBdr/>
        <w:spacing/>
        <w:ind w:firstLine="567"/>
        <w:jc w:val="both"/>
        <w:rPr/>
      </w:pPr>
      <w:r>
        <w:t xml:space="preserve">Финансовым управляющим утвержден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FinancialManagerInfo</w:t>
      </w:r>
      <w:r>
        <w:rPr>
          <w:color w:val="00b050"/>
          <w:lang w:val="en-US"/>
        </w:rPr>
        <w:t xml:space="preserve">}}</w:t>
      </w:r>
      <w:r>
        <w:t xml:space="preserve">.</w:t>
      </w:r>
      <w:r/>
    </w:p>
    <w:p>
      <w:pPr>
        <w:pBdr/>
        <w:spacing/>
        <w:ind w:firstLine="709"/>
        <w:jc w:val="both"/>
        <w:rPr>
          <w:b/>
        </w:rPr>
      </w:pPr>
      <w:r>
        <w:t xml:space="preserve">На основании </w:t>
      </w:r>
      <w:r>
        <w:t xml:space="preserve">абз</w:t>
      </w:r>
      <w:r>
        <w:t xml:space="preserve">. 5 п. 7 ст. 213.9 Закона о банкротстве (в ред. Федерального закона №107-ФЗ от 29.05.2024 г.), Финансовый управляющий вправе получать информацию об имуществе гражданина и его супруга, а также о счетах и вкладах (депозитах) гражданина и его </w:t>
      </w:r>
      <w:r>
        <w:t xml:space="preserve">супруга, в том числе по банковским картам, об остатках электронных денежных средств и о переводах электронных денежных средств от граждан и юридических лиц (включая кредитные организации), от органов государственной власти, органов местного самоуправления </w:t>
      </w:r>
      <w:r>
        <w:rPr>
          <w:b/>
          <w:bCs/>
          <w:u w:val="single"/>
        </w:rPr>
        <w:t xml:space="preserve">без предварительного обращения в Арбитражный суд, прошу сообщить следующую информацию</w:t>
      </w:r>
      <w:r>
        <w:rPr>
          <w:b/>
        </w:rPr>
        <w:t xml:space="preserve">:</w:t>
      </w:r>
      <w:r>
        <w:rPr>
          <w:b/>
        </w:rPr>
      </w:r>
      <w:r>
        <w:rPr>
          <w:b/>
        </w:rPr>
      </w:r>
    </w:p>
    <w:p>
      <w:pPr>
        <w:numPr>
          <w:ilvl w:val="0"/>
          <w:numId w:val="5"/>
        </w:numPr>
        <w:pBdr/>
        <w:spacing/>
        <w:ind/>
        <w:jc w:val="both"/>
        <w:rPr>
          <w:bCs/>
        </w:rPr>
      </w:pPr>
      <w:r>
        <w:rPr>
          <w:bCs/>
        </w:rPr>
        <w:t xml:space="preserve">сведения </w:t>
      </w:r>
      <w:r>
        <w:rPr>
          <w:b/>
          <w:bCs/>
          <w:u w:val="single"/>
        </w:rPr>
        <w:t xml:space="preserve">о доходах</w:t>
      </w:r>
      <w:r>
        <w:rPr>
          <w:bCs/>
        </w:rPr>
        <w:t xml:space="preserve"> </w:t>
      </w:r>
      <w:r>
        <w:rPr>
          <w:rFonts w:cs="Calibri"/>
          <w:b/>
          <w:bCs/>
          <w:color w:val="000000"/>
        </w:rPr>
        <w:t xml:space="preserve">Должника </w:t>
      </w:r>
      <w:r>
        <w:rPr>
          <w:rStyle w:val="922"/>
          <w:b/>
          <w:bCs/>
        </w:rPr>
        <w:t xml:space="preserve">за</w:t>
      </w:r>
      <w:r>
        <w:rPr>
          <w:rStyle w:val="922"/>
        </w:rPr>
        <w:t xml:space="preserve"> </w:t>
      </w:r>
      <w:r>
        <w:rPr>
          <w:rStyle w:val="922"/>
          <w:b/>
          <w:bCs/>
        </w:rPr>
        <w:t xml:space="preserve">три года</w:t>
      </w:r>
      <w:r>
        <w:rPr>
          <w:rStyle w:val="922"/>
        </w:rPr>
        <w:t xml:space="preserve"> до возбуждения дела о банкротстве по настоящее время</w:t>
      </w:r>
      <w:r>
        <w:t xml:space="preserve"> </w:t>
      </w:r>
      <w:r>
        <w:rPr>
          <w:rFonts w:cs="Calibri"/>
          <w:color w:val="000000"/>
        </w:rPr>
        <w:t xml:space="preserve">(</w:t>
      </w:r>
      <w:r>
        <w:rPr>
          <w:rFonts w:cs="Calibri"/>
          <w:b/>
          <w:color w:val="000000"/>
          <w:u w:val="single"/>
        </w:rPr>
        <w:t xml:space="preserve">с указанием работодателя</w:t>
      </w:r>
      <w:r>
        <w:rPr>
          <w:rFonts w:cs="Calibri"/>
          <w:color w:val="000000"/>
        </w:rPr>
        <w:t xml:space="preserve">)</w:t>
      </w:r>
      <w:r>
        <w:rPr>
          <w:bCs/>
          <w:i/>
        </w:rPr>
        <w:t xml:space="preserve">;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5"/>
        </w:numPr>
        <w:pBdr/>
        <w:spacing/>
        <w:ind/>
        <w:jc w:val="both"/>
        <w:rPr>
          <w:bCs/>
        </w:rPr>
      </w:pPr>
      <w:r>
        <w:rPr>
          <w:bCs/>
        </w:rPr>
        <w:t xml:space="preserve">сведения </w:t>
      </w:r>
      <w:r>
        <w:rPr>
          <w:b/>
          <w:bCs/>
          <w:u w:val="single"/>
        </w:rPr>
        <w:t xml:space="preserve">об открытых счетах</w:t>
      </w:r>
      <w:r>
        <w:rPr>
          <w:bCs/>
        </w:rPr>
        <w:t xml:space="preserve"> в кредитных организациях</w:t>
      </w:r>
      <w:r>
        <w:rPr>
          <w:bCs/>
        </w:rPr>
        <w:t xml:space="preserve">;</w:t>
      </w:r>
      <w:r>
        <w:rPr>
          <w:bCs/>
        </w:rPr>
      </w:r>
      <w:r>
        <w:rPr>
          <w:bCs/>
        </w:rPr>
      </w:r>
    </w:p>
    <w:p>
      <w:pPr>
        <w:numPr>
          <w:ilvl w:val="0"/>
          <w:numId w:val="5"/>
        </w:numPr>
        <w:pBdr/>
        <w:spacing/>
        <w:ind/>
        <w:jc w:val="both"/>
        <w:rPr>
          <w:bCs/>
        </w:rPr>
      </w:pPr>
      <w:r>
        <w:rPr>
          <w:bCs/>
        </w:rPr>
        <w:t xml:space="preserve">сведения </w:t>
      </w:r>
      <w:r>
        <w:rPr>
          <w:b/>
          <w:bCs/>
          <w:u w:val="single"/>
        </w:rPr>
        <w:t xml:space="preserve">о юридических лицах</w:t>
      </w:r>
      <w:r>
        <w:rPr>
          <w:bCs/>
        </w:rPr>
        <w:t xml:space="preserve">, в которых </w:t>
      </w:r>
      <w:r>
        <w:rPr>
          <w:rFonts w:cs="Calibri"/>
          <w:color w:val="000000"/>
        </w:rPr>
        <w:t xml:space="preserve">Должник</w:t>
      </w:r>
      <w:r>
        <w:rPr>
          <w:bCs/>
        </w:rPr>
        <w:t xml:space="preserve"> является учредителем или руководителем. </w:t>
      </w:r>
      <w:r>
        <w:rPr>
          <w:bCs/>
        </w:rPr>
      </w:r>
      <w:r>
        <w:rPr>
          <w:bCs/>
        </w:rPr>
      </w:r>
    </w:p>
    <w:p>
      <w:pPr>
        <w:pBdr/>
        <w:spacing/>
        <w:ind w:firstLine="36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Напоминаю, что в соответствии с п. 1 ст. 20.3 Закона о банкротстве физические лица, юридические лица, г</w:t>
      </w:r>
      <w:r>
        <w:rPr>
          <w:sz w:val="23"/>
          <w:szCs w:val="23"/>
        </w:rPr>
        <w:t xml:space="preserve">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Bdr/>
        <w:spacing w:after="120"/>
        <w:ind w:firstLine="360"/>
        <w:jc w:val="both"/>
        <w:rPr>
          <w:sz w:val="23"/>
          <w:szCs w:val="23"/>
        </w:rPr>
      </w:pPr>
      <w:r>
        <w:rPr>
          <w:b/>
          <w:sz w:val="23"/>
          <w:szCs w:val="23"/>
          <w:u w:val="single"/>
        </w:rPr>
        <w:t xml:space="preserve">В случае отсутствия запрашиваемой информации, просьба указать это в ответе.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Bdr/>
        <w:spacing/>
        <w:ind w:firstLine="36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Напоминаю, что информация по делу о банкротстве является публичной и отображается на сайте </w:t>
      </w:r>
      <w:hyperlink r:id="rId10" w:tooltip="https://kad.arbitr.ru" w:history="1">
        <w:r>
          <w:rPr>
            <w:rStyle w:val="910"/>
            <w:b/>
            <w:sz w:val="22"/>
            <w:szCs w:val="22"/>
            <w:lang w:val="en-US"/>
          </w:rPr>
          <w:t xml:space="preserve">kad</w:t>
        </w:r>
        <w:r>
          <w:rPr>
            <w:rStyle w:val="910"/>
            <w:b/>
            <w:sz w:val="22"/>
            <w:szCs w:val="22"/>
          </w:rPr>
          <w:t xml:space="preserve">.</w:t>
        </w:r>
        <w:r>
          <w:rPr>
            <w:rStyle w:val="910"/>
            <w:b/>
            <w:sz w:val="22"/>
            <w:szCs w:val="22"/>
            <w:lang w:val="en-US"/>
          </w:rPr>
          <w:t xml:space="preserve">arbitr</w:t>
        </w:r>
        <w:r>
          <w:rPr>
            <w:rStyle w:val="910"/>
            <w:b/>
            <w:sz w:val="22"/>
            <w:szCs w:val="22"/>
          </w:rPr>
          <w:t xml:space="preserve">.</w:t>
        </w:r>
        <w:r>
          <w:rPr>
            <w:rStyle w:val="910"/>
            <w:b/>
            <w:sz w:val="22"/>
            <w:szCs w:val="22"/>
            <w:lang w:val="en-US"/>
          </w:rPr>
          <w:t xml:space="preserve">ru</w:t>
        </w:r>
      </w:hyperlink>
      <w:r>
        <w:rPr>
          <w:b/>
          <w:sz w:val="22"/>
          <w:szCs w:val="22"/>
        </w:rPr>
        <w:t xml:space="preserve">, в связи с чем у Арбитражного управляющего </w:t>
      </w:r>
      <w:r>
        <w:rPr>
          <w:b/>
          <w:sz w:val="22"/>
          <w:szCs w:val="22"/>
          <w:u w:val="single"/>
        </w:rPr>
        <w:t xml:space="preserve">отсутствует необходимость направления судебного акта, заверенного канцелярией Арбитражного суда.</w:t>
      </w:r>
      <w:r>
        <w:rPr>
          <w:b/>
          <w:sz w:val="22"/>
          <w:szCs w:val="22"/>
        </w:rPr>
        <w:t xml:space="preserve"> На основании вышеизложенного, направляю копию судебного акта, </w:t>
      </w:r>
      <w:r>
        <w:rPr>
          <w:b/>
          <w:sz w:val="22"/>
          <w:szCs w:val="22"/>
          <w:u w:val="single"/>
        </w:rPr>
        <w:t xml:space="preserve">подписанную электронной подписью</w:t>
      </w:r>
      <w:r>
        <w:rPr>
          <w:b/>
          <w:sz w:val="22"/>
          <w:szCs w:val="22"/>
        </w:rPr>
        <w:t xml:space="preserve"> судьи и </w:t>
      </w:r>
      <w:r>
        <w:rPr>
          <w:b/>
          <w:sz w:val="22"/>
          <w:szCs w:val="22"/>
          <w:u w:val="single"/>
        </w:rPr>
        <w:t xml:space="preserve">распечатанную с картотеки арбитражного суда.</w:t>
      </w:r>
      <w:r>
        <w:rPr>
          <w:b/>
          <w:sz w:val="22"/>
          <w:szCs w:val="22"/>
          <w:u w:val="single"/>
        </w:rPr>
      </w:r>
      <w:r>
        <w:rPr>
          <w:b/>
          <w:sz w:val="22"/>
          <w:szCs w:val="22"/>
          <w:u w:val="single"/>
        </w:rPr>
      </w:r>
    </w:p>
    <w:p>
      <w:pPr>
        <w:pBdr/>
        <w:spacing w:after="120" w:before="120"/>
        <w:ind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Ответ</w:t>
      </w:r>
      <w:r>
        <w:rPr>
          <w:b/>
          <w:bCs/>
          <w:color w:val="222222"/>
          <w:sz w:val="22"/>
          <w:szCs w:val="22"/>
        </w:rPr>
        <w:t xml:space="preserve"> на запрос и копии документов прошу направить по адресу электронной почты: </w:t>
      </w:r>
      <w:r>
        <w:rPr>
          <w:color w:val="0070c0"/>
          <w:sz w:val="22"/>
          <w:szCs w:val="22"/>
          <w:lang w:val="en-US"/>
        </w:rPr>
        <w:t xml:space="preserve">{{</w:t>
      </w:r>
      <w:r>
        <w:rPr>
          <w:color w:val="0070c0"/>
          <w:sz w:val="22"/>
          <w:szCs w:val="22"/>
          <w:lang w:val="en-US"/>
        </w:rPr>
        <w:t xml:space="preserve">financialManager</w:t>
      </w:r>
      <w:r>
        <w:rPr>
          <w:color w:val="0070c0"/>
          <w:sz w:val="22"/>
          <w:szCs w:val="22"/>
          <w:lang w:val="en-US"/>
        </w:rPr>
        <w:t xml:space="preserve">.email}}</w:t>
      </w:r>
      <w:r>
        <w:rPr>
          <w:b/>
          <w:sz w:val="22"/>
          <w:szCs w:val="22"/>
          <w:u w:val="single"/>
        </w:rPr>
      </w:r>
      <w:r>
        <w:rPr>
          <w:b/>
          <w:sz w:val="22"/>
          <w:szCs w:val="22"/>
          <w:u w:val="single"/>
        </w:rPr>
      </w:r>
    </w:p>
    <w:p>
      <w:pPr>
        <w:pBdr/>
        <w:spacing/>
        <w:ind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При</w:t>
      </w:r>
      <w:r>
        <w:rPr>
          <w:color w:val="222222"/>
          <w:sz w:val="22"/>
          <w:szCs w:val="22"/>
        </w:rPr>
        <w:t xml:space="preserve"> отсутствия технической возможности отправки документа по электронной почте, прошу направить его заказным письмом по адресу:</w:t>
      </w:r>
      <w:r>
        <w:rPr>
          <w:color w:val="222222"/>
          <w:sz w:val="22"/>
          <w:szCs w:val="22"/>
        </w:rPr>
        <w:t xml:space="preserve"> </w:t>
      </w:r>
      <w:r>
        <w:rPr>
          <w:b/>
          <w:color w:val="00b050"/>
          <w:sz w:val="22"/>
          <w:szCs w:val="22"/>
          <w:u w:val="single"/>
          <w:lang w:val="en-US"/>
        </w:rPr>
        <w:t xml:space="preserve">{{</w:t>
      </w:r>
      <w:r>
        <w:rPr>
          <w:b/>
          <w:color w:val="00b050"/>
          <w:sz w:val="22"/>
          <w:szCs w:val="22"/>
          <w:u w:val="single"/>
          <w:lang w:val="en-US"/>
        </w:rPr>
        <w:t xml:space="preserve">correspondenceAddress</w:t>
      </w:r>
      <w:r>
        <w:rPr>
          <w:b/>
          <w:color w:val="00b050"/>
          <w:sz w:val="22"/>
          <w:szCs w:val="22"/>
          <w:u w:val="single"/>
          <w:lang w:val="en-US"/>
        </w:rPr>
        <w:t xml:space="preserve">}}</w:t>
      </w:r>
      <w:r>
        <w:rPr>
          <w:sz w:val="22"/>
          <w:szCs w:val="22"/>
        </w:rPr>
        <w:t xml:space="preserve">.</w:t>
      </w:r>
      <w:r>
        <w:rPr>
          <w:color w:val="222222"/>
          <w:sz w:val="22"/>
          <w:szCs w:val="22"/>
        </w:rPr>
      </w:r>
      <w:r>
        <w:rPr>
          <w:color w:val="222222"/>
          <w:sz w:val="22"/>
          <w:szCs w:val="22"/>
        </w:rPr>
      </w:r>
    </w:p>
    <w:p>
      <w:pPr>
        <w:pBdr/>
        <w:spacing w:before="120"/>
        <w:ind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При возниконовении вопросов, просьба связаться со мной по номеру телефона: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851"/>
        <w:jc w:val="center"/>
        <w:rPr>
          <w:b/>
          <w:u w:val="single"/>
        </w:rPr>
      </w:pPr>
      <w:r>
        <w:rPr>
          <w:b/>
          <w:color w:val="0070c0"/>
          <w:sz w:val="22"/>
          <w:szCs w:val="22"/>
          <w:u w:val="single"/>
          <w:lang w:val="en-US"/>
        </w:rPr>
        <w:t xml:space="preserve">{{</w:t>
      </w:r>
      <w:r>
        <w:rPr>
          <w:b/>
          <w:color w:val="0070c0"/>
          <w:sz w:val="22"/>
          <w:szCs w:val="22"/>
          <w:u w:val="single"/>
          <w:lang w:val="en-US"/>
        </w:rPr>
        <w:t xml:space="preserve">financialManager</w:t>
      </w:r>
      <w:r>
        <w:rPr>
          <w:b/>
          <w:color w:val="0070c0"/>
          <w:sz w:val="22"/>
          <w:szCs w:val="22"/>
          <w:u w:val="single"/>
          <w:lang w:val="en-US"/>
        </w:rPr>
        <w:t xml:space="preserve">.phone}}</w:t>
      </w:r>
      <w:r>
        <w:rPr>
          <w:b/>
          <w:u w:val="single"/>
        </w:rPr>
      </w:r>
      <w:r>
        <w:rPr>
          <w:b/>
          <w:u w:val="single"/>
        </w:rPr>
      </w:r>
    </w:p>
    <w:p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Приложение: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 w:left="426"/>
        <w:jc w:val="both"/>
        <w:rPr>
          <w:color w:val="00b050"/>
          <w:sz w:val="20"/>
          <w:szCs w:val="20"/>
        </w:rPr>
      </w:pPr>
      <w:r>
        <w:rPr>
          <w:color w:val="00b050"/>
          <w:sz w:val="20"/>
          <w:szCs w:val="20"/>
        </w:rPr>
        <w:t xml:space="preserve">Копия {{resolutionPart}} решения Арбитражного суда {{court.shortName}} от {{procedureInitiationDateForPublication}} по делу № {{</w:t>
      </w:r>
      <w:r>
        <w:rPr>
          <w:color w:val="00b050"/>
          <w:sz w:val="20"/>
          <w:szCs w:val="20"/>
          <w:lang w:val="en-US"/>
        </w:rPr>
        <w:t xml:space="preserve">c</w:t>
      </w:r>
      <w:r>
        <w:rPr>
          <w:color w:val="00b050"/>
          <w:sz w:val="20"/>
          <w:szCs w:val="20"/>
        </w:rPr>
        <w:t xml:space="preserve">aseNumber}}</w:t>
      </w:r>
      <w:r>
        <w:rPr>
          <w:color w:val="00b050"/>
          <w:sz w:val="20"/>
          <w:szCs w:val="20"/>
        </w:rPr>
        <w:t xml:space="preserve">.</w:t>
      </w:r>
      <w:r>
        <w:rPr>
          <w:color w:val="00b050"/>
          <w:sz w:val="20"/>
          <w:szCs w:val="20"/>
        </w:rPr>
      </w:r>
      <w:r>
        <w:rPr>
          <w:color w:val="00b050"/>
          <w:sz w:val="20"/>
          <w:szCs w:val="20"/>
        </w:rPr>
      </w:r>
    </w:p>
    <w:p>
      <w:pPr>
        <w:pBdr/>
        <w:spacing/>
        <w:ind/>
        <w:jc w:val="both"/>
        <w:rPr>
          <w:color w:val="ff0000"/>
          <w:sz w:val="16"/>
          <w:szCs w:val="16"/>
        </w:rPr>
      </w:pPr>
      <w:r>
        <w:rPr>
          <w:color w:val="ff0000"/>
          <w:sz w:val="16"/>
          <w:szCs w:val="16"/>
        </w:rPr>
      </w:r>
      <w:r>
        <w:rPr>
          <w:color w:val="ff0000"/>
          <w:sz w:val="16"/>
          <w:szCs w:val="16"/>
        </w:rPr>
      </w:r>
      <w:r>
        <w:rPr>
          <w:color w:val="ff0000"/>
          <w:sz w:val="16"/>
          <w:szCs w:val="16"/>
        </w:rPr>
      </w:r>
    </w:p>
    <w:tbl>
      <w:tblPr>
        <w:tblW w:w="5000" w:type="pct"/>
        <w:tblCellMar>
          <w:left w:w="0" w:type="dxa"/>
          <w:right w:w="0" w:type="dxa"/>
        </w:tblCellMar>
        <w:tblBorders/>
        <w:tblCellSpacing w:w="0" w:type="dxa"/>
        <w:tblLook w:val="04A0" w:firstRow="1" w:lastRow="0" w:firstColumn="1" w:lastColumn="0" w:noHBand="0" w:noVBand="1"/>
      </w:tblPr>
      <w:tblGrid>
        <w:gridCol w:w="5199"/>
        <w:gridCol w:w="67"/>
        <w:gridCol w:w="5200"/>
      </w:tblGrid>
      <w:tr>
        <w:trPr>
          <w:tblCellSpacing w:w="0" w:type="dxa"/>
        </w:trPr>
        <w:tc>
          <w:tcPr>
            <w:tcBorders/>
            <w:tcW w:w="2484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Арбитражный управляющий</w:t>
            </w:r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 </w:t>
            </w:r>
            <w:r/>
          </w:p>
        </w:tc>
        <w:tc>
          <w:tcPr>
            <w:tcBorders/>
            <w:tcW w:w="2484" w:type="pct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b/>
              </w:rPr>
            </w:pPr>
            <w:r>
              <w:rPr>
                <w:b/>
              </w:rPr>
              <w:t xml:space="preserve">   </w:t>
            </w:r>
            <w:r>
              <w:rPr>
                <w:b/>
                <w:color w:val="00b050"/>
                <w:lang w:val="en-US"/>
              </w:rPr>
              <w:t xml:space="preserve">{{</w:t>
            </w:r>
            <w:r>
              <w:rPr>
                <w:b/>
                <w:color w:val="00b050"/>
                <w:lang w:val="en-US"/>
              </w:rPr>
              <w:t xml:space="preserve">financialManager</w:t>
            </w:r>
            <w:r>
              <w:rPr>
                <w:b/>
                <w:color w:val="00b050"/>
                <w:lang w:val="en-US"/>
              </w:rPr>
              <w:t xml:space="preserve">.shortFio}}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720" w:right="720" w:bottom="720" w:left="720" w:header="708" w:footer="708" w:gutter="0"/>
          <w:pgNumType w:start="1"/>
          <w:cols w:num="1" w:sep="0" w:space="708" w:equalWidth="1"/>
        </w:sectPr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continuous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Segoe UI">
    <w:panose1 w:val="020B0503020204020204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 w:cs="Calibr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3">
    <w:name w:val="Intense Emphasis"/>
    <w:basedOn w:val="9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4">
    <w:name w:val="Intense Reference"/>
    <w:basedOn w:val="9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5">
    <w:name w:val="Subtle Emphasis"/>
    <w:basedOn w:val="9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6">
    <w:name w:val="Emphasis"/>
    <w:basedOn w:val="905"/>
    <w:uiPriority w:val="20"/>
    <w:qFormat/>
    <w:pPr>
      <w:pBdr/>
      <w:spacing/>
      <w:ind/>
    </w:pPr>
    <w:rPr>
      <w:i/>
      <w:iCs/>
    </w:rPr>
  </w:style>
  <w:style w:type="character" w:styleId="727">
    <w:name w:val="Strong"/>
    <w:basedOn w:val="905"/>
    <w:uiPriority w:val="22"/>
    <w:qFormat/>
    <w:pPr>
      <w:pBdr/>
      <w:spacing/>
      <w:ind/>
    </w:pPr>
    <w:rPr>
      <w:b/>
      <w:bCs/>
    </w:rPr>
  </w:style>
  <w:style w:type="character" w:styleId="728">
    <w:name w:val="Subtle Reference"/>
    <w:basedOn w:val="9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29">
    <w:name w:val="Book Title"/>
    <w:basedOn w:val="90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0">
    <w:name w:val="Placeholder Text"/>
    <w:basedOn w:val="905"/>
    <w:uiPriority w:val="99"/>
    <w:semiHidden/>
    <w:pPr>
      <w:pBdr/>
      <w:spacing/>
      <w:ind/>
    </w:pPr>
    <w:rPr>
      <w:color w:val="666666"/>
    </w:rPr>
  </w:style>
  <w:style w:type="character" w:styleId="731">
    <w:name w:val="Heading 1 Char"/>
    <w:basedOn w:val="905"/>
    <w:link w:val="90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32">
    <w:name w:val="Heading 2"/>
    <w:basedOn w:val="903"/>
    <w:next w:val="903"/>
    <w:link w:val="73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33">
    <w:name w:val="Heading 2 Char"/>
    <w:basedOn w:val="905"/>
    <w:link w:val="73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34">
    <w:name w:val="Heading 3"/>
    <w:basedOn w:val="903"/>
    <w:next w:val="903"/>
    <w:link w:val="73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35">
    <w:name w:val="Heading 3 Char"/>
    <w:basedOn w:val="905"/>
    <w:link w:val="73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36">
    <w:name w:val="Heading 4"/>
    <w:basedOn w:val="903"/>
    <w:next w:val="903"/>
    <w:link w:val="73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7">
    <w:name w:val="Heading 4 Char"/>
    <w:basedOn w:val="905"/>
    <w:link w:val="73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903"/>
    <w:next w:val="903"/>
    <w:link w:val="73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9">
    <w:name w:val="Heading 5 Char"/>
    <w:basedOn w:val="905"/>
    <w:link w:val="73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40">
    <w:name w:val="Heading 6"/>
    <w:basedOn w:val="903"/>
    <w:next w:val="903"/>
    <w:link w:val="74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41">
    <w:name w:val="Heading 6 Char"/>
    <w:basedOn w:val="905"/>
    <w:link w:val="74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42">
    <w:name w:val="Heading 7"/>
    <w:basedOn w:val="903"/>
    <w:next w:val="903"/>
    <w:link w:val="74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43">
    <w:name w:val="Heading 7 Char"/>
    <w:basedOn w:val="905"/>
    <w:link w:val="74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4">
    <w:name w:val="Heading 8"/>
    <w:basedOn w:val="903"/>
    <w:next w:val="903"/>
    <w:link w:val="74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45">
    <w:name w:val="Heading 8 Char"/>
    <w:basedOn w:val="905"/>
    <w:link w:val="74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46">
    <w:name w:val="Heading 9"/>
    <w:basedOn w:val="903"/>
    <w:next w:val="903"/>
    <w:link w:val="74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7">
    <w:name w:val="Heading 9 Char"/>
    <w:basedOn w:val="905"/>
    <w:link w:val="74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48">
    <w:name w:val="No Spacing"/>
    <w:uiPriority w:val="1"/>
    <w:qFormat/>
    <w:pPr>
      <w:pBdr/>
      <w:spacing w:after="0" w:before="0" w:line="240" w:lineRule="auto"/>
      <w:ind/>
    </w:pPr>
  </w:style>
  <w:style w:type="paragraph" w:styleId="749">
    <w:name w:val="Title"/>
    <w:basedOn w:val="903"/>
    <w:next w:val="903"/>
    <w:link w:val="750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50">
    <w:name w:val="Title Char"/>
    <w:basedOn w:val="905"/>
    <w:link w:val="749"/>
    <w:uiPriority w:val="10"/>
    <w:pPr>
      <w:pBdr/>
      <w:spacing/>
      <w:ind/>
    </w:pPr>
    <w:rPr>
      <w:sz w:val="48"/>
      <w:szCs w:val="48"/>
    </w:rPr>
  </w:style>
  <w:style w:type="paragraph" w:styleId="751">
    <w:name w:val="Subtitle"/>
    <w:basedOn w:val="903"/>
    <w:next w:val="903"/>
    <w:link w:val="752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52">
    <w:name w:val="Subtitle Char"/>
    <w:basedOn w:val="905"/>
    <w:link w:val="751"/>
    <w:uiPriority w:val="11"/>
    <w:pPr>
      <w:pBdr/>
      <w:spacing/>
      <w:ind/>
    </w:pPr>
    <w:rPr>
      <w:sz w:val="24"/>
      <w:szCs w:val="24"/>
    </w:rPr>
  </w:style>
  <w:style w:type="paragraph" w:styleId="753">
    <w:name w:val="Quote"/>
    <w:basedOn w:val="903"/>
    <w:next w:val="903"/>
    <w:link w:val="754"/>
    <w:uiPriority w:val="29"/>
    <w:qFormat/>
    <w:pPr>
      <w:pBdr/>
      <w:spacing/>
      <w:ind w:right="720" w:left="720"/>
    </w:pPr>
    <w:rPr>
      <w:i/>
    </w:rPr>
  </w:style>
  <w:style w:type="character" w:styleId="754">
    <w:name w:val="Quote Char"/>
    <w:link w:val="753"/>
    <w:uiPriority w:val="29"/>
    <w:pPr>
      <w:pBdr/>
      <w:spacing/>
      <w:ind/>
    </w:pPr>
    <w:rPr>
      <w:i/>
    </w:rPr>
  </w:style>
  <w:style w:type="paragraph" w:styleId="755">
    <w:name w:val="Intense Quote"/>
    <w:basedOn w:val="903"/>
    <w:next w:val="903"/>
    <w:link w:val="756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56">
    <w:name w:val="Intense Quote Char"/>
    <w:link w:val="755"/>
    <w:uiPriority w:val="30"/>
    <w:pPr>
      <w:pBdr/>
      <w:spacing/>
      <w:ind/>
    </w:pPr>
    <w:rPr>
      <w:i/>
    </w:rPr>
  </w:style>
  <w:style w:type="character" w:styleId="757">
    <w:name w:val="Header Char"/>
    <w:basedOn w:val="905"/>
    <w:link w:val="915"/>
    <w:uiPriority w:val="99"/>
    <w:pPr>
      <w:pBdr/>
      <w:spacing/>
      <w:ind/>
    </w:pPr>
  </w:style>
  <w:style w:type="character" w:styleId="758">
    <w:name w:val="Footer Char"/>
    <w:basedOn w:val="905"/>
    <w:link w:val="917"/>
    <w:uiPriority w:val="99"/>
    <w:pPr>
      <w:pBdr/>
      <w:spacing/>
      <w:ind/>
    </w:pPr>
  </w:style>
  <w:style w:type="paragraph" w:styleId="759">
    <w:name w:val="Caption"/>
    <w:basedOn w:val="903"/>
    <w:next w:val="90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60">
    <w:name w:val="Caption Char"/>
    <w:basedOn w:val="759"/>
    <w:link w:val="917"/>
    <w:uiPriority w:val="99"/>
    <w:pPr>
      <w:pBdr/>
      <w:spacing/>
      <w:ind/>
    </w:pPr>
  </w:style>
  <w:style w:type="table" w:styleId="761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footnote text"/>
    <w:basedOn w:val="903"/>
    <w:link w:val="88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87">
    <w:name w:val="Footnote Text Char"/>
    <w:link w:val="886"/>
    <w:uiPriority w:val="99"/>
    <w:pPr>
      <w:pBdr/>
      <w:spacing/>
      <w:ind/>
    </w:pPr>
    <w:rPr>
      <w:sz w:val="18"/>
    </w:rPr>
  </w:style>
  <w:style w:type="character" w:styleId="888">
    <w:name w:val="footnote reference"/>
    <w:basedOn w:val="905"/>
    <w:uiPriority w:val="99"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3"/>
    <w:link w:val="89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90">
    <w:name w:val="Endnote Text Char"/>
    <w:link w:val="889"/>
    <w:uiPriority w:val="99"/>
    <w:pPr>
      <w:pBdr/>
      <w:spacing/>
      <w:ind/>
    </w:pPr>
    <w:rPr>
      <w:sz w:val="20"/>
    </w:rPr>
  </w:style>
  <w:style w:type="character" w:styleId="891">
    <w:name w:val="endnote reference"/>
    <w:basedOn w:val="905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toc 1"/>
    <w:basedOn w:val="903"/>
    <w:next w:val="903"/>
    <w:uiPriority w:val="39"/>
    <w:unhideWhenUsed/>
    <w:pPr>
      <w:pBdr/>
      <w:spacing w:after="57"/>
      <w:ind w:right="0" w:firstLine="0" w:left="0"/>
    </w:pPr>
  </w:style>
  <w:style w:type="paragraph" w:styleId="893">
    <w:name w:val="toc 2"/>
    <w:basedOn w:val="903"/>
    <w:next w:val="903"/>
    <w:uiPriority w:val="39"/>
    <w:unhideWhenUsed/>
    <w:pPr>
      <w:pBdr/>
      <w:spacing w:after="57"/>
      <w:ind w:right="0" w:firstLine="0" w:left="283"/>
    </w:pPr>
  </w:style>
  <w:style w:type="paragraph" w:styleId="894">
    <w:name w:val="toc 3"/>
    <w:basedOn w:val="903"/>
    <w:next w:val="903"/>
    <w:uiPriority w:val="39"/>
    <w:unhideWhenUsed/>
    <w:pPr>
      <w:pBdr/>
      <w:spacing w:after="57"/>
      <w:ind w:right="0" w:firstLine="0" w:left="567"/>
    </w:pPr>
  </w:style>
  <w:style w:type="paragraph" w:styleId="895">
    <w:name w:val="toc 4"/>
    <w:basedOn w:val="903"/>
    <w:next w:val="903"/>
    <w:uiPriority w:val="39"/>
    <w:unhideWhenUsed/>
    <w:pPr>
      <w:pBdr/>
      <w:spacing w:after="57"/>
      <w:ind w:right="0" w:firstLine="0" w:left="850"/>
    </w:pPr>
  </w:style>
  <w:style w:type="paragraph" w:styleId="896">
    <w:name w:val="toc 5"/>
    <w:basedOn w:val="903"/>
    <w:next w:val="903"/>
    <w:uiPriority w:val="39"/>
    <w:unhideWhenUsed/>
    <w:pPr>
      <w:pBdr/>
      <w:spacing w:after="57"/>
      <w:ind w:right="0" w:firstLine="0" w:left="1134"/>
    </w:pPr>
  </w:style>
  <w:style w:type="paragraph" w:styleId="897">
    <w:name w:val="toc 6"/>
    <w:basedOn w:val="903"/>
    <w:next w:val="903"/>
    <w:uiPriority w:val="39"/>
    <w:unhideWhenUsed/>
    <w:pPr>
      <w:pBdr/>
      <w:spacing w:after="57"/>
      <w:ind w:right="0" w:firstLine="0" w:left="1417"/>
    </w:pPr>
  </w:style>
  <w:style w:type="paragraph" w:styleId="898">
    <w:name w:val="toc 7"/>
    <w:basedOn w:val="903"/>
    <w:next w:val="903"/>
    <w:uiPriority w:val="39"/>
    <w:unhideWhenUsed/>
    <w:pPr>
      <w:pBdr/>
      <w:spacing w:after="57"/>
      <w:ind w:right="0" w:firstLine="0" w:left="1701"/>
    </w:pPr>
  </w:style>
  <w:style w:type="paragraph" w:styleId="899">
    <w:name w:val="toc 8"/>
    <w:basedOn w:val="903"/>
    <w:next w:val="903"/>
    <w:uiPriority w:val="39"/>
    <w:unhideWhenUsed/>
    <w:pPr>
      <w:pBdr/>
      <w:spacing w:after="57"/>
      <w:ind w:right="0" w:firstLine="0" w:left="1984"/>
    </w:pPr>
  </w:style>
  <w:style w:type="paragraph" w:styleId="900">
    <w:name w:val="toc 9"/>
    <w:basedOn w:val="903"/>
    <w:next w:val="903"/>
    <w:uiPriority w:val="39"/>
    <w:unhideWhenUsed/>
    <w:pPr>
      <w:pBdr/>
      <w:spacing w:after="57"/>
      <w:ind w:right="0" w:firstLine="0" w:left="2268"/>
    </w:pPr>
  </w:style>
  <w:style w:type="paragraph" w:styleId="901">
    <w:name w:val="TOC Heading"/>
    <w:uiPriority w:val="39"/>
    <w:unhideWhenUsed/>
    <w:pPr>
      <w:pBdr/>
      <w:spacing/>
      <w:ind/>
    </w:p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04">
    <w:name w:val="Heading 1"/>
    <w:basedOn w:val="903"/>
    <w:link w:val="909"/>
    <w:uiPriority w:val="9"/>
    <w:qFormat/>
    <w:pPr>
      <w:pBdr/>
      <w:spacing w:after="100" w:afterAutospacing="1" w:before="100" w:beforeAutospacing="1"/>
      <w:ind/>
      <w:outlineLvl w:val="0"/>
    </w:pPr>
    <w:rPr>
      <w:sz w:val="53"/>
      <w:szCs w:val="53"/>
    </w:rPr>
  </w:style>
  <w:style w:type="character" w:styleId="905" w:default="1">
    <w:name w:val="Default Paragraph Font"/>
    <w:uiPriority w:val="1"/>
    <w:semiHidden/>
    <w:unhideWhenUsed/>
    <w:pPr>
      <w:pBdr/>
      <w:spacing/>
      <w:ind/>
    </w:pPr>
  </w:style>
  <w:style w:type="table" w:styleId="90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table" w:styleId="908">
    <w:name w:val="Table Grid"/>
    <w:basedOn w:val="906"/>
    <w:uiPriority w:val="5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9" w:customStyle="1">
    <w:name w:val="Заголовок 1 Знак"/>
    <w:link w:val="904"/>
    <w:uiPriority w:val="9"/>
    <w:pPr>
      <w:pBdr/>
      <w:spacing/>
      <w:ind/>
    </w:pPr>
    <w:rPr>
      <w:rFonts w:ascii="Times New Roman" w:hAnsi="Times New Roman" w:eastAsia="Times New Roman"/>
      <w:sz w:val="53"/>
      <w:szCs w:val="53"/>
    </w:rPr>
  </w:style>
  <w:style w:type="character" w:styleId="910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911" w:customStyle="1">
    <w:name w:val="ConsPlusNonformat"/>
    <w:pPr>
      <w:widowControl w:val="false"/>
      <w:pBdr/>
      <w:spacing/>
      <w:ind/>
    </w:pPr>
    <w:rPr>
      <w:rFonts w:ascii="Courier New" w:hAnsi="Courier New" w:eastAsia="Times New Roman" w:cs="Courier New"/>
    </w:rPr>
  </w:style>
  <w:style w:type="paragraph" w:styleId="912" w:customStyle="1">
    <w:name w:val="Обычный (веб)1"/>
    <w:basedOn w:val="903"/>
    <w:pPr>
      <w:pBdr/>
      <w:spacing w:after="240" w:before="240"/>
      <w:ind/>
    </w:pPr>
  </w:style>
  <w:style w:type="character" w:styleId="913" w:customStyle="1">
    <w:name w:val="Unresolved Mention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14">
    <w:name w:val="FollowedHyperlink"/>
    <w:uiPriority w:val="99"/>
    <w:semiHidden/>
    <w:unhideWhenUsed/>
    <w:pPr>
      <w:pBdr/>
      <w:spacing/>
      <w:ind/>
    </w:pPr>
    <w:rPr>
      <w:color w:val="954f72"/>
      <w:u w:val="single"/>
    </w:rPr>
  </w:style>
  <w:style w:type="paragraph" w:styleId="915">
    <w:name w:val="Header"/>
    <w:basedOn w:val="903"/>
    <w:link w:val="91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16" w:customStyle="1">
    <w:name w:val="Верхний колонтитул Знак"/>
    <w:link w:val="915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17">
    <w:name w:val="Footer"/>
    <w:basedOn w:val="903"/>
    <w:link w:val="91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18" w:customStyle="1">
    <w:name w:val="Нижний колонтитул Знак"/>
    <w:link w:val="917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19">
    <w:name w:val="Balloon Text"/>
    <w:basedOn w:val="903"/>
    <w:link w:val="920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20" w:customStyle="1">
    <w:name w:val="Текст выноски Знак"/>
    <w:link w:val="919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paragraph" w:styleId="921">
    <w:name w:val="List Paragraph"/>
    <w:basedOn w:val="903"/>
    <w:uiPriority w:val="34"/>
    <w:qFormat/>
    <w:pPr>
      <w:pBdr/>
      <w:spacing/>
      <w:ind w:left="720"/>
      <w:contextualSpacing w:val="true"/>
    </w:pPr>
  </w:style>
  <w:style w:type="character" w:styleId="922" w:customStyle="1">
    <w:name w:val="fontstyle01"/>
    <w:pPr>
      <w:pBdr/>
      <w:spacing/>
      <w:ind/>
    </w:pPr>
    <w:rPr>
      <w:rFonts w:hint="default"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kad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0FA48-3D15-4822-B8B8-FD804D124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Низамов</dc:creator>
  <cp:keywords/>
  <cp:revision>13</cp:revision>
  <dcterms:created xsi:type="dcterms:W3CDTF">2025-07-04T09:07:00Z</dcterms:created>
  <dcterms:modified xsi:type="dcterms:W3CDTF">2025-12-29T17:49:51Z</dcterms:modified>
</cp:coreProperties>
</file>