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108" w:type="dxa"/>
        <w:tblW w:w="9571" w:type="dxa"/>
        <w:tblCellMar>
          <w:left w:w="108" w:type="dxa"/>
          <w:top w:w="200" w:type="dxa"/>
          <w:right w:w="108" w:type="dxa"/>
          <w:bottom w:w="140" w:type="dxa"/>
        </w:tblCellMar>
        <w:tblBorders/>
        <w:tblLayout w:type="fixed"/>
        <w:tblpPr w:horzAnchor="margin" w:tblpXSpec="center" w:vertAnchor="text" w:tblpY="-182" w:leftFromText="180" w:topFromText="0" w:rightFromText="180" w:bottomFromText="0"/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Borders>
              <w:bottom w:val="single" w:color="000000" w:sz="4" w:space="0"/>
            </w:tcBorders>
            <w:tcW w:w="9571" w:type="dxa"/>
            <w:textDirection w:val="lrTb"/>
            <w:noWrap w:val="false"/>
          </w:tcPr>
          <w:p>
            <w:pPr>
              <w:pStyle w:val="889"/>
              <w:pBdr/>
              <w:spacing/>
              <w:ind/>
              <w:jc w:val="center"/>
              <w:rPr>
                <w:rFonts w:cs="Calibri"/>
                <w:sz w:val="19"/>
                <w:szCs w:val="19"/>
                <w:highlight w:val="white"/>
              </w:rPr>
            </w:pPr>
            <w:r>
              <w:rPr>
                <w:bCs/>
                <w:sz w:val="19"/>
                <w:szCs w:val="19"/>
              </w:rPr>
              <w:t xml:space="preserve">Финансовый управляющий </w:t>
            </w:r>
            <w:r>
              <w:rPr>
                <w:rFonts w:cs="Calibri"/>
                <w:color w:val="00b050"/>
                <w:sz w:val="19"/>
                <w:szCs w:val="19"/>
                <w:lang w:val="en-US"/>
              </w:rPr>
              <w:t xml:space="preserve">{{</w:t>
            </w:r>
            <w:r>
              <w:rPr>
                <w:rFonts w:cs="Calibri"/>
                <w:color w:val="00b050"/>
                <w:sz w:val="19"/>
                <w:szCs w:val="19"/>
                <w:lang w:val="en-US"/>
              </w:rPr>
              <w:t xml:space="preserve">FullNameGenitive</w:t>
            </w:r>
            <w:r>
              <w:rPr>
                <w:rFonts w:cs="Calibri"/>
                <w:color w:val="00b050"/>
                <w:sz w:val="19"/>
                <w:szCs w:val="19"/>
                <w:lang w:val="en-US"/>
              </w:rPr>
              <w:t xml:space="preserve">}}</w:t>
            </w:r>
            <w:r>
              <w:rPr>
                <w:rFonts w:cs="Calibri"/>
                <w:color w:val="00b050"/>
                <w:sz w:val="19"/>
                <w:szCs w:val="19"/>
              </w:rPr>
              <w:t xml:space="preserve"> </w:t>
            </w:r>
            <w:r>
              <w:rPr>
                <w:rFonts w:cs="Calibri"/>
                <w:sz w:val="19"/>
                <w:szCs w:val="19"/>
              </w:rPr>
              <w:t xml:space="preserve">– </w:t>
            </w:r>
            <w:r>
              <w:rPr>
                <w:rFonts w:cs="Calibri"/>
                <w:color w:val="00b050"/>
                <w:sz w:val="19"/>
                <w:szCs w:val="19"/>
                <w:highlight w:val="white"/>
              </w:rPr>
              <w:t xml:space="preserve">{{financialManager.fio}}</w:t>
            </w:r>
            <w:r>
              <w:rPr>
                <w:rFonts w:cs="Calibri"/>
                <w:color w:val="00b050"/>
                <w:sz w:val="19"/>
                <w:szCs w:val="19"/>
                <w:highlight w:val="white"/>
              </w:rPr>
            </w:r>
            <w:r>
              <w:rPr>
                <w:rFonts w:cs="Calibri"/>
                <w:sz w:val="19"/>
                <w:szCs w:val="19"/>
                <w:highlight w:val="white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Mar>
              <w:top w:w="140" w:type="dxa"/>
              <w:bottom w:w="400" w:type="dxa"/>
            </w:tcMar>
            <w:tcW w:w="9571" w:type="dxa"/>
            <w:textDirection w:val="lrTb"/>
            <w:noWrap w:val="false"/>
          </w:tcPr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correspondenceAddress</w:t>
            </w:r>
            <w:r>
              <w:rPr>
                <w:color w:val="00b050"/>
                <w:sz w:val="19"/>
                <w:lang w:val="en-US"/>
              </w:rPr>
              <w:t xml:space="preserve">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</w:p>
          <w:p>
            <w:pPr>
              <w:pBdr/>
              <w:spacing/>
              <w:ind/>
              <w:rPr>
                <w:sz w:val="19"/>
              </w:rPr>
            </w:pPr>
            <w:r>
              <w:rPr>
                <w:sz w:val="19"/>
              </w:rPr>
              <w:t xml:space="preserve">тел: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.phone}}</w:t>
            </w:r>
            <w:r>
              <w:rPr>
                <w:color w:val="00b050"/>
                <w:sz w:val="19"/>
              </w:rPr>
              <w:t xml:space="preserve"> </w:t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  <w:p>
            <w:pPr>
              <w:pBdr/>
              <w:spacing/>
              <w:ind/>
              <w:rPr>
                <w:color w:val="00b050"/>
                <w:sz w:val="19"/>
              </w:rPr>
            </w:pPr>
            <w:r>
              <w:rPr>
                <w:sz w:val="19"/>
              </w:rPr>
              <w:t xml:space="preserve">эл. почта: </w:t>
            </w:r>
            <w:r>
              <w:rPr>
                <w:color w:val="00b050"/>
                <w:sz w:val="19"/>
                <w:lang w:val="en-US"/>
              </w:rPr>
              <w:t xml:space="preserve">{{</w:t>
            </w:r>
            <w:r>
              <w:rPr>
                <w:color w:val="00b050"/>
                <w:sz w:val="19"/>
                <w:lang w:val="en-US"/>
              </w:rPr>
              <w:t xml:space="preserve">financialManager</w:t>
            </w:r>
            <w:r>
              <w:rPr>
                <w:color w:val="00b050"/>
                <w:sz w:val="19"/>
                <w:lang w:val="en-US"/>
              </w:rPr>
              <w:t xml:space="preserve">.email}}</w:t>
            </w:r>
            <w:r>
              <w:rPr>
                <w:color w:val="00b050"/>
                <w:sz w:val="19"/>
              </w:rPr>
            </w:r>
            <w:r>
              <w:rPr>
                <w:color w:val="00b050"/>
                <w:sz w:val="19"/>
              </w:rPr>
            </w:r>
            <w:r>
              <w:rPr>
                <w:sz w:val="19"/>
                <w:lang w:val="en-US" w:eastAsia="en-US"/>
              </w:rPr>
            </w:r>
            <w:r>
              <w:rPr>
                <w:sz w:val="19"/>
                <w:lang w:val="en-US" w:eastAsia="en-US"/>
              </w:rPr>
            </w:r>
            <w:r>
              <w:rPr>
                <w:color w:val="00b050"/>
                <w:sz w:val="19"/>
              </w:rPr>
            </w:r>
          </w:p>
        </w:tc>
      </w:tr>
    </w:tbl>
    <w:p>
      <w:pPr>
        <w:pStyle w:val="889"/>
        <w:pBdr/>
        <w:spacing/>
        <w:ind/>
        <w:rPr/>
      </w:pPr>
      <w:r/>
      <w:r/>
    </w:p>
    <w:tbl>
      <w:tblPr>
        <w:tblInd w:w="108" w:type="dxa"/>
        <w:tblW w:w="1020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pPr w:horzAnchor="margin" w:tblpX="5" w:vertAnchor="text" w:tblpY="957" w:leftFromText="0" w:topFromText="0" w:rightFromText="180" w:bottomFromText="0"/>
        <w:tblLook w:val="04A0" w:firstRow="1" w:lastRow="0" w:firstColumn="1" w:lastColumn="0" w:noHBand="0" w:noVBand="1"/>
      </w:tblPr>
      <w:tblGrid>
        <w:gridCol w:w="3227"/>
        <w:gridCol w:w="6979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227" w:type="dxa"/>
            <w:textDirection w:val="lrTb"/>
            <w:noWrap w:val="false"/>
          </w:tcPr>
          <w:p>
            <w:pPr>
              <w:pStyle w:val="889"/>
              <w:pBdr/>
              <w:spacing w:after="120" w:before="120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79" w:type="dxa"/>
            <w:textDirection w:val="lrTb"/>
            <w:noWrap w:val="false"/>
          </w:tcPr>
          <w:p>
            <w:pPr>
              <w:pStyle w:val="919"/>
              <w:pBdr/>
              <w:spacing/>
              <w:ind/>
              <w:jc w:val="right"/>
              <w:rPr>
                <w:b/>
                <w:bCs/>
                <w:color w:val="00b050"/>
                <w:sz w:val="22"/>
                <w:szCs w:val="22"/>
                <w:highlight w:val="none"/>
                <w:lang w:val="en-US" w:eastAsia="en-US"/>
              </w:rPr>
            </w:pPr>
            <w:r>
              <w:rPr>
                <w:b/>
                <w:bCs/>
                <w:color w:val="00b050"/>
                <w:sz w:val="22"/>
                <w:szCs w:val="22"/>
                <w:lang w:val="en-US" w:eastAsia="en-US"/>
              </w:rPr>
              <w:t xml:space="preserve">{{</w:t>
            </w:r>
            <w:r>
              <w:rPr>
                <w:b/>
                <w:bCs/>
                <w:color w:val="00b050"/>
                <w:sz w:val="22"/>
                <w:szCs w:val="22"/>
                <w:lang w:val="en-US" w:eastAsia="en-US"/>
              </w:rPr>
              <w:t xml:space="preserve">procedureInitiationBailiff</w:t>
            </w:r>
            <w:r>
              <w:rPr>
                <w:b/>
                <w:bCs/>
                <w:color w:val="00b050"/>
                <w:sz w:val="22"/>
                <w:szCs w:val="22"/>
                <w:lang w:val="en-US" w:eastAsia="en-US"/>
              </w:rPr>
              <w:t xml:space="preserve">.</w:t>
            </w:r>
            <w:r>
              <w:rPr>
                <w:b/>
                <w:bCs/>
                <w:color w:val="00b050"/>
                <w:sz w:val="22"/>
                <w:szCs w:val="22"/>
                <w:lang w:val="en-US" w:eastAsia="en-US"/>
              </w:rPr>
              <w:t xml:space="preserve">department</w:t>
            </w:r>
            <w:r>
              <w:rPr>
                <w:b/>
                <w:bCs/>
                <w:color w:val="00b050"/>
                <w:sz w:val="22"/>
                <w:szCs w:val="22"/>
                <w:lang w:val="en-US" w:eastAsia="en-US"/>
              </w:rPr>
              <w:t xml:space="preserve">}}</w:t>
            </w:r>
            <w:r>
              <w:rPr>
                <w:b/>
                <w:bCs/>
                <w:color w:val="00b050"/>
                <w:sz w:val="22"/>
                <w:szCs w:val="22"/>
                <w:highlight w:val="none"/>
                <w:lang w:val="en-US" w:eastAsia="en-US"/>
              </w:rPr>
            </w:r>
            <w:r>
              <w:rPr>
                <w:b/>
                <w:bCs/>
                <w:color w:val="00b050"/>
                <w:sz w:val="22"/>
                <w:szCs w:val="22"/>
                <w:highlight w:val="none"/>
                <w:lang w:val="en-US" w:eastAsia="en-US"/>
              </w:rPr>
            </w:r>
          </w:p>
          <w:p>
            <w:pPr>
              <w:pStyle w:val="919"/>
              <w:pBdr/>
              <w:spacing/>
              <w:ind/>
              <w:jc w:val="right"/>
              <w:rPr>
                <w:b/>
                <w:bCs/>
                <w:color w:val="00b050"/>
                <w:sz w:val="22"/>
                <w:szCs w:val="22"/>
              </w:rPr>
            </w:pPr>
            <w:r>
              <w:rPr>
                <w:b/>
                <w:bCs/>
                <w:color w:val="00b050"/>
                <w:sz w:val="22"/>
                <w:szCs w:val="22"/>
                <w:highlight w:val="none"/>
                <w:lang w:val="en-US" w:eastAsia="en-US"/>
              </w:rPr>
              <w:t xml:space="preserve">{{</w:t>
            </w:r>
            <w:r>
              <w:rPr>
                <w:b/>
                <w:bCs/>
                <w:color w:val="00b050"/>
                <w:sz w:val="22"/>
                <w:szCs w:val="22"/>
                <w:highlight w:val="none"/>
                <w:lang w:val="en-US" w:eastAsia="en-US"/>
              </w:rPr>
              <w:t xml:space="preserve">procedureInitiationBailiff</w:t>
            </w:r>
            <w:r>
              <w:rPr>
                <w:b/>
                <w:bCs/>
                <w:color w:val="00b050"/>
                <w:sz w:val="22"/>
                <w:szCs w:val="22"/>
                <w:highlight w:val="none"/>
                <w:lang w:val="en-US" w:eastAsia="en-US"/>
              </w:rPr>
              <w:t xml:space="preserve">.</w:t>
            </w:r>
            <w:r>
              <w:rPr>
                <w:b/>
                <w:bCs/>
                <w:color w:val="00b050"/>
                <w:sz w:val="22"/>
                <w:szCs w:val="22"/>
                <w:highlight w:val="none"/>
                <w:lang w:val="en-US" w:eastAsia="en-US"/>
              </w:rPr>
              <w:t xml:space="preserve">fullHeadName</w:t>
            </w:r>
            <w:r>
              <w:rPr>
                <w:b/>
                <w:bCs/>
                <w:color w:val="00b050"/>
                <w:sz w:val="22"/>
                <w:szCs w:val="22"/>
                <w:highlight w:val="none"/>
                <w:lang w:val="en-US" w:eastAsia="en-US"/>
              </w:rPr>
              <w:t xml:space="preserve">}}</w:t>
            </w:r>
            <w:r>
              <w:rPr>
                <w:b/>
                <w:bCs/>
                <w:color w:val="00b050"/>
                <w:sz w:val="22"/>
                <w:szCs w:val="22"/>
              </w:rPr>
            </w:r>
            <w:r>
              <w:rPr>
                <w:b/>
                <w:bCs/>
                <w:color w:val="00b050"/>
                <w:sz w:val="22"/>
                <w:szCs w:val="22"/>
              </w:rPr>
            </w:r>
          </w:p>
          <w:p>
            <w:pPr>
              <w:pStyle w:val="918"/>
              <w:pBdr/>
              <w:spacing/>
              <w:ind/>
              <w:jc w:val="right"/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en-US" w:eastAsia="en-US"/>
              </w:rPr>
            </w:pPr>
            <w:r>
              <w:rPr>
                <w:rFonts w:ascii="Times New Roman" w:hAnsi="Times New Roman" w:cs="Times New Roman"/>
                <w:b/>
                <w:color w:val="00b050"/>
                <w:sz w:val="22"/>
                <w:szCs w:val="22"/>
                <w:lang w:val="en-US" w:eastAsia="en-US"/>
              </w:rPr>
              <w:t xml:space="preserve">{{</w:t>
            </w:r>
            <w:r>
              <w:rPr>
                <w:rFonts w:ascii="Times New Roman" w:hAnsi="Times New Roman" w:cs="Times New Roman"/>
                <w:b/>
                <w:color w:val="00b050"/>
                <w:sz w:val="22"/>
                <w:szCs w:val="22"/>
                <w:lang w:val="en-US" w:eastAsia="en-US"/>
              </w:rPr>
              <w:t xml:space="preserve">procedureInitiationBailiff</w:t>
            </w:r>
            <w:r>
              <w:rPr>
                <w:rFonts w:ascii="Times New Roman" w:hAnsi="Times New Roman" w:cs="Times New Roman"/>
                <w:b/>
                <w:color w:val="00b050"/>
                <w:sz w:val="22"/>
                <w:szCs w:val="22"/>
                <w:lang w:val="en-US" w:eastAsia="en-US"/>
              </w:rPr>
              <w:t xml:space="preserve">.address}} </w:t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en-US" w:eastAsia="en-US"/>
              </w:rPr>
            </w:r>
            <w:r>
              <w:rPr>
                <w:rFonts w:ascii="Times New Roman" w:hAnsi="Times New Roman" w:cs="Times New Roman"/>
                <w:b/>
                <w:color w:val="ff0000"/>
                <w:sz w:val="22"/>
                <w:szCs w:val="22"/>
                <w:lang w:val="en-US" w:eastAsia="en-US"/>
              </w:rPr>
            </w:r>
          </w:p>
        </w:tc>
      </w:tr>
    </w:tbl>
    <w:p>
      <w:pPr>
        <w:pStyle w:val="889"/>
        <w:pBdr/>
        <w:spacing/>
        <w:ind/>
        <w:rPr/>
      </w:pPr>
      <w:r/>
      <w:r/>
    </w:p>
    <w:p>
      <w:pPr>
        <w:pStyle w:val="889"/>
        <w:pBdr/>
        <w:spacing/>
        <w:ind/>
        <w:jc w:val="center"/>
        <w:rPr>
          <w:b/>
        </w:rPr>
      </w:pPr>
      <w:r>
        <w:rPr>
          <w:b/>
        </w:rPr>
        <w:t xml:space="preserve">ЗАЯВЛЕНИЕ </w:t>
      </w:r>
      <w:r>
        <w:rPr>
          <w:b/>
        </w:rPr>
      </w:r>
      <w:r>
        <w:rPr>
          <w:b/>
        </w:rPr>
      </w:r>
    </w:p>
    <w:p>
      <w:pPr>
        <w:pStyle w:val="889"/>
        <w:pBdr/>
        <w:spacing/>
        <w:ind/>
        <w:jc w:val="center"/>
        <w:rPr>
          <w:b/>
        </w:rPr>
      </w:pPr>
      <w:r>
        <w:rPr>
          <w:b/>
        </w:rPr>
        <w:t xml:space="preserve">об окончании исполнительного производства</w:t>
      </w:r>
      <w:r>
        <w:rPr>
          <w:b/>
        </w:rPr>
      </w:r>
      <w:r>
        <w:rPr>
          <w:b/>
        </w:rPr>
      </w:r>
    </w:p>
    <w:p>
      <w:pPr>
        <w:pStyle w:val="917"/>
        <w:pBdr/>
        <w:spacing/>
        <w:ind w:right="0" w:firstLine="54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>
      <w:pPr>
        <w:pStyle w:val="889"/>
        <w:pBdr/>
        <w:spacing/>
        <w:ind w:right="0" w:firstLine="540"/>
        <w:jc w:val="both"/>
        <w:rPr>
          <w:rFonts w:cs="Calibri"/>
          <w:color w:val="00b050"/>
        </w:rPr>
      </w:pPr>
      <w:r>
        <w:rPr>
          <w:rFonts w:cs="Calibri"/>
          <w:color w:val="00b050"/>
        </w:rPr>
        <w:t xml:space="preserve">{{startNotificationText}}</w:t>
      </w:r>
      <w:r>
        <w:rPr>
          <w:rFonts w:cs="Calibri"/>
          <w:color w:val="00b050"/>
        </w:rPr>
      </w:r>
      <w:r>
        <w:rPr>
          <w:rFonts w:cs="Calibri"/>
          <w:color w:val="00b050"/>
        </w:rPr>
      </w:r>
    </w:p>
    <w:p>
      <w:pPr>
        <w:pStyle w:val="889"/>
        <w:pBdr/>
        <w:spacing/>
        <w:ind w:right="0" w:firstLine="709"/>
        <w:jc w:val="both"/>
        <w:rPr/>
      </w:pPr>
      <w:r>
        <w:t xml:space="preserve">Финансовым управляющим утвержден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FinancialManagerInfo</w:t>
      </w:r>
      <w:r>
        <w:rPr>
          <w:color w:val="00b050"/>
          <w:lang w:val="en-US"/>
        </w:rPr>
        <w:t xml:space="preserve">}}</w:t>
      </w:r>
      <w:r>
        <w:t xml:space="preserve">. </w:t>
      </w:r>
      <w:r/>
    </w:p>
    <w:p>
      <w:pPr>
        <w:pStyle w:val="889"/>
        <w:pBdr/>
        <w:spacing/>
        <w:ind w:right="0" w:firstLine="540"/>
        <w:jc w:val="both"/>
        <w:rPr/>
      </w:pPr>
      <w:r>
        <w:rPr>
          <w:rFonts w:cs="Calibri"/>
        </w:rPr>
        <w:t xml:space="preserve">У Вас в производстве в настоящее время имеются следующие исполнительные производства:</w:t>
      </w:r>
      <w:r/>
    </w:p>
    <w:p>
      <w:pPr>
        <w:pStyle w:val="889"/>
        <w:pBdr/>
        <w:spacing w:after="0" w:before="120"/>
        <w:ind w:right="0" w:left="720"/>
        <w:jc w:val="both"/>
        <w:rPr/>
      </w:pPr>
      <w:r>
        <w:rPr>
          <w:rFonts w:cs="Calibri"/>
          <w:b/>
          <w:color w:val="00b050"/>
          <w:sz w:val="22"/>
          <w:szCs w:val="22"/>
          <w:lang w:val="en-US"/>
        </w:rPr>
        <w:t xml:space="preserve">{{</w:t>
      </w:r>
      <w:r>
        <w:rPr>
          <w:rFonts w:cs="Calibri"/>
          <w:b/>
          <w:color w:val="00b050"/>
          <w:sz w:val="22"/>
          <w:szCs w:val="22"/>
          <w:lang w:val="en-US"/>
        </w:rPr>
        <w:t xml:space="preserve">IPEndingsStr</w:t>
      </w:r>
      <w:r>
        <w:rPr>
          <w:rFonts w:cs="Calibri"/>
          <w:b/>
          <w:color w:val="00b050"/>
          <w:sz w:val="22"/>
          <w:szCs w:val="22"/>
          <w:lang w:val="en-US"/>
        </w:rPr>
        <w:t xml:space="preserve">}}</w:t>
      </w:r>
      <w:r>
        <w:rPr>
          <w:rFonts w:cs="Calibri"/>
          <w:b/>
          <w:color w:val="ff0000"/>
          <w:sz w:val="22"/>
          <w:szCs w:val="22"/>
        </w:rPr>
      </w:r>
      <w:r/>
    </w:p>
    <w:p>
      <w:pPr>
        <w:pStyle w:val="889"/>
        <w:pBdr/>
        <w:spacing w:after="0" w:before="120"/>
        <w:ind w:right="0" w:left="720"/>
        <w:jc w:val="both"/>
        <w:rPr/>
      </w:pPr>
      <w:r>
        <w:t xml:space="preserve">В соответствии с ч. 4 ст. 69.1 ФЗ «Об исполнительном производстве» </w:t>
      </w:r>
      <w:r>
        <w:rPr>
          <w:b/>
          <w:u w:val="single"/>
        </w:rPr>
        <w:t xml:space="preserve">при получении копии решения арбитражного суда о признании гражданина,</w:t>
      </w:r>
      <w:r>
        <w:t xml:space="preserve"> в том числе индивидуального предпринимателя, банкротом и введении процедуры реализации имущества гражданина судебный пристав-исполнитель </w:t>
      </w:r>
      <w:r>
        <w:rPr>
          <w:b/>
          <w:u w:val="single"/>
        </w:rPr>
        <w:t xml:space="preserve">оканчивает исполнительное производство по исполнительным документам</w:t>
      </w:r>
      <w:r>
        <w:t xml:space="preserve">, за исключением исполнительных документов по т</w:t>
      </w:r>
      <w:r>
        <w:t xml:space="preserve">ребованиям об истребовании имущества из чужого незаконного владения, о признании права собственности, о взыскании алиментов, о взыскании задолженности по текущим платежам. Одновременно с окончанием исполнительного производства судебный пристав-исполнитель </w:t>
      </w:r>
      <w:r>
        <w:rPr>
          <w:b/>
          <w:u w:val="single"/>
        </w:rPr>
        <w:t xml:space="preserve">снимает наложенные им в ходе исполнительного производства аресты на имущество должника-гражданина</w:t>
      </w:r>
      <w:r>
        <w:t xml:space="preserve">, в том числе индивидуального предпринимателя, и иные ограничения распоряжения этим имуществом.</w:t>
      </w:r>
      <w:r/>
    </w:p>
    <w:p>
      <w:pPr>
        <w:pStyle w:val="889"/>
        <w:pBdr/>
        <w:spacing w:after="120" w:before="120"/>
        <w:ind/>
        <w:jc w:val="both"/>
        <w:rPr/>
      </w:pPr>
      <w:r>
        <w:t xml:space="preserve">          </w:t>
      </w:r>
      <w:r>
        <w:t xml:space="preserve">На основании выше изложенного и, руководствуясь законодательством Российской Федерации:</w:t>
      </w:r>
      <w:r/>
    </w:p>
    <w:p>
      <w:pPr>
        <w:pStyle w:val="889"/>
        <w:pBdr/>
        <w:spacing w:after="120" w:before="120"/>
        <w:ind/>
        <w:jc w:val="center"/>
        <w:rPr/>
      </w:pPr>
      <w:r>
        <w:t xml:space="preserve">ПРОШУ:</w:t>
      </w:r>
      <w:r/>
    </w:p>
    <w:p>
      <w:pPr>
        <w:pStyle w:val="889"/>
        <w:pBdr/>
        <w:spacing w:line="276" w:lineRule="auto"/>
        <w:ind/>
        <w:jc w:val="both"/>
        <w:rPr/>
      </w:pPr>
      <w:r>
        <w:t xml:space="preserve">1. Окончить исполнительные производства: </w:t>
      </w:r>
      <w:r/>
    </w:p>
    <w:p>
      <w:pPr>
        <w:pStyle w:val="889"/>
        <w:pBdr/>
        <w:spacing w:line="276" w:lineRule="auto"/>
        <w:ind w:right="0" w:left="360"/>
        <w:jc w:val="both"/>
        <w:rPr>
          <w:b/>
        </w:rPr>
      </w:pPr>
      <w:r>
        <w:rPr>
          <w:b/>
          <w:color w:val="00b050"/>
          <w:lang w:val="en-US"/>
        </w:rPr>
        <w:t xml:space="preserve">{{</w:t>
      </w:r>
      <w:r>
        <w:rPr>
          <w:b/>
          <w:color w:val="00b050"/>
          <w:lang w:val="en-US"/>
        </w:rPr>
        <w:t xml:space="preserve">IPEndingsStr</w:t>
      </w:r>
      <w:r>
        <w:rPr>
          <w:b/>
          <w:color w:val="00b050"/>
          <w:lang w:val="en-US"/>
        </w:rPr>
        <w:t xml:space="preserve">}}</w:t>
      </w:r>
      <w:r>
        <w:rPr>
          <w:b/>
          <w:color w:val="00b050"/>
        </w:rPr>
        <w:t xml:space="preserve"> </w:t>
      </w:r>
      <w:r>
        <w:t xml:space="preserve">в отношении </w:t>
      </w:r>
      <w:r>
        <w:rPr>
          <w:color w:val="00b050"/>
          <w:lang w:val="en-US"/>
        </w:rPr>
        <w:t xml:space="preserve">{{</w:t>
      </w:r>
      <w:r>
        <w:rPr>
          <w:color w:val="00b050"/>
          <w:lang w:val="en-US"/>
        </w:rPr>
        <w:t xml:space="preserve">FullNameGenitive</w:t>
      </w:r>
      <w:r>
        <w:rPr>
          <w:color w:val="00b050"/>
          <w:lang w:val="en-US"/>
        </w:rPr>
        <w:t xml:space="preserve">}}</w:t>
      </w:r>
      <w:r>
        <w:rPr>
          <w:color w:val="00b050"/>
        </w:rPr>
        <w:t xml:space="preserve">;</w:t>
      </w:r>
      <w:r>
        <w:rPr>
          <w:b/>
        </w:rPr>
      </w:r>
      <w:r>
        <w:rPr>
          <w:b/>
        </w:rPr>
      </w:r>
    </w:p>
    <w:p>
      <w:pPr>
        <w:pStyle w:val="889"/>
        <w:pBdr/>
        <w:spacing w:line="276" w:lineRule="auto"/>
        <w:ind/>
        <w:jc w:val="both"/>
        <w:rPr/>
      </w:pPr>
      <w:r>
        <w:rPr>
          <w:rFonts w:cs="Calibri"/>
        </w:rPr>
        <w:t xml:space="preserve">2. </w:t>
      </w:r>
      <w:r>
        <w:rPr>
          <w:rFonts w:cs="Calibri"/>
          <w:bCs/>
        </w:rPr>
        <w:t xml:space="preserve">Снять ограничения, наложенные в рамках исполнительных производств</w:t>
      </w:r>
      <w:r>
        <w:rPr>
          <w:rFonts w:cs="Calibri"/>
        </w:rPr>
        <w:t xml:space="preserve">;</w:t>
      </w:r>
      <w:r/>
    </w:p>
    <w:p>
      <w:pPr>
        <w:pStyle w:val="889"/>
        <w:pBdr/>
        <w:spacing w:line="276" w:lineRule="auto"/>
        <w:ind/>
        <w:jc w:val="both"/>
        <w:rPr>
          <w:rFonts w:cs="Calibri"/>
        </w:rPr>
      </w:pPr>
      <w:r>
        <w:rPr>
          <w:rFonts w:cs="Calibri"/>
        </w:rPr>
        <w:t xml:space="preserve">3. Постановление об окончании исполнительного производства вместе с исполнительными листами (судебными приказами) выслать в адрес финансового управляющего: </w:t>
      </w:r>
      <w:r>
        <w:rPr>
          <w:rFonts w:cs="Calibri"/>
          <w:color w:val="00b050"/>
          <w:lang w:val="en-US"/>
        </w:rPr>
        <w:t xml:space="preserve">{{</w:t>
      </w:r>
      <w:r>
        <w:rPr>
          <w:rFonts w:cs="Calibri"/>
          <w:color w:val="00b050"/>
          <w:lang w:val="en-US"/>
        </w:rPr>
        <w:t xml:space="preserve">correspondenceAddress</w:t>
      </w:r>
      <w:r>
        <w:rPr>
          <w:rFonts w:cs="Calibri"/>
          <w:color w:val="00b050"/>
          <w:lang w:val="en-US"/>
        </w:rPr>
        <w:t xml:space="preserve">}}</w:t>
      </w:r>
      <w:r>
        <w:rPr>
          <w:rFonts w:cs="Calibri"/>
        </w:rPr>
        <w:t xml:space="preserve">.</w:t>
      </w:r>
      <w:r>
        <w:rPr>
          <w:rFonts w:cs="Calibri"/>
        </w:rPr>
      </w:r>
      <w:r>
        <w:rPr>
          <w:rFonts w:cs="Calibri"/>
        </w:rPr>
      </w:r>
    </w:p>
    <w:p>
      <w:pPr>
        <w:pStyle w:val="889"/>
        <w:pBdr/>
        <w:spacing/>
        <w:ind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>
      <w:pPr>
        <w:pStyle w:val="889"/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Приложение: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16"/>
        <w:numPr>
          <w:ilvl w:val="0"/>
          <w:numId w:val="2"/>
        </w:numPr>
        <w:pBdr/>
        <w:spacing/>
        <w:ind/>
        <w:jc w:val="both"/>
        <w:rPr>
          <w:rFonts w:cs="Calibri"/>
          <w:sz w:val="20"/>
          <w:szCs w:val="20"/>
        </w:rPr>
      </w:pPr>
      <w:r>
        <w:rPr>
          <w:rFonts w:cs="Calibri"/>
          <w:color w:val="00b050"/>
          <w:sz w:val="20"/>
          <w:szCs w:val="20"/>
        </w:rPr>
        <w:t xml:space="preserve">Копия {{resolutionPart}} решения Арбитражного суда {{court.shortName}} от {{procedureInitiationDateForPublication}} по делу № {{</w:t>
      </w:r>
      <w:r>
        <w:rPr>
          <w:rFonts w:cs="Calibri"/>
          <w:color w:val="00b050"/>
          <w:sz w:val="20"/>
          <w:szCs w:val="20"/>
          <w:lang w:val="en-US"/>
        </w:rPr>
        <w:t xml:space="preserve">c</w:t>
      </w:r>
      <w:r>
        <w:rPr>
          <w:rFonts w:cs="Calibri"/>
          <w:color w:val="00b050"/>
          <w:sz w:val="20"/>
          <w:szCs w:val="20"/>
        </w:rPr>
        <w:t xml:space="preserve">aseNumber}}.</w:t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>
      <w:pPr>
        <w:pStyle w:val="916"/>
        <w:pBdr/>
        <w:spacing/>
        <w:ind w:right="0" w:left="0"/>
        <w:jc w:val="both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>
      <w:pPr>
        <w:pStyle w:val="916"/>
        <w:pBdr/>
        <w:spacing/>
        <w:ind w:right="0" w:left="0"/>
        <w:jc w:val="both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  <w:r>
        <w:rPr>
          <w:color w:val="ff0000"/>
          <w:sz w:val="20"/>
          <w:szCs w:val="20"/>
        </w:rPr>
      </w:r>
    </w:p>
    <w:p>
      <w:pPr>
        <w:pStyle w:val="916"/>
        <w:pBdr/>
        <w:spacing/>
        <w:ind w:right="0" w:left="0"/>
        <w:jc w:val="both"/>
        <w:rPr>
          <w:b/>
        </w:rPr>
      </w:pPr>
      <w:r>
        <w:rPr>
          <w:b/>
        </w:rPr>
        <w:t xml:space="preserve">Финансовый управляющий</w:t>
      </w:r>
      <w:r>
        <w:rPr>
          <w:b/>
        </w:rPr>
      </w:r>
      <w:r>
        <w:rPr>
          <w:b/>
        </w:rPr>
      </w:r>
    </w:p>
    <w:p>
      <w:pPr>
        <w:pStyle w:val="916"/>
        <w:pBdr/>
        <w:spacing/>
        <w:ind w:right="0" w:left="0"/>
        <w:jc w:val="both"/>
        <w:rPr/>
      </w:pPr>
      <w:r>
        <w:rPr>
          <w:b/>
          <w:color w:val="00b050"/>
          <w:lang w:val="en-US"/>
        </w:rPr>
        <w:t xml:space="preserve">{{</w:t>
      </w:r>
      <w:r>
        <w:rPr>
          <w:b/>
          <w:color w:val="00b050"/>
          <w:lang w:val="en-US"/>
        </w:rPr>
        <w:t xml:space="preserve">FullNameGenitive</w:t>
      </w:r>
      <w:r>
        <w:rPr>
          <w:b/>
          <w:color w:val="00b050"/>
          <w:lang w:val="en-US"/>
        </w:rPr>
        <w:t xml:space="preserve">}}</w:t>
      </w:r>
      <w:r>
        <w:rPr>
          <w:b/>
          <w:color w:val="00b050"/>
        </w:rPr>
        <w:tab/>
      </w:r>
      <w:r>
        <w:rPr>
          <w:b/>
        </w:rPr>
        <w:tab/>
        <w:t xml:space="preserve">               </w:t>
        <w:tab/>
        <w:t xml:space="preserve">   </w:t>
        <w:tab/>
        <w:tab/>
        <w:t xml:space="preserve"> </w:t>
      </w:r>
      <w:r>
        <w:rPr>
          <w:b/>
          <w:lang w:val="en-US"/>
        </w:rPr>
        <w:t xml:space="preserve">        </w:t>
      </w:r>
      <w:r>
        <w:rPr>
          <w:b/>
          <w:color w:val="00b050"/>
          <w:lang w:val="en-US"/>
        </w:rPr>
        <w:t xml:space="preserve">{{</w:t>
      </w:r>
      <w:r>
        <w:rPr>
          <w:b/>
          <w:color w:val="00b050"/>
          <w:lang w:val="en-US"/>
        </w:rPr>
        <w:t xml:space="preserve">financialManager</w:t>
      </w:r>
      <w:r>
        <w:rPr>
          <w:b/>
          <w:color w:val="00b050"/>
          <w:lang w:val="en-US"/>
        </w:rPr>
        <w:t xml:space="preserve">.shortFio}}</w:t>
      </w:r>
      <w:r>
        <w:rPr>
          <w:b/>
        </w:rPr>
      </w:r>
      <w:r/>
    </w:p>
    <w:sectPr>
      <w:footnotePr/>
      <w:endnotePr/>
      <w:type w:val="nextPage"/>
      <w:pgSz w:h="16838" w:orient="portrait" w:w="11906"/>
      <w:pgMar w:top="720" w:right="720" w:bottom="0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Segoe UI">
    <w:panose1 w:val="020B0503020204020204"/>
  </w:font>
  <w:font w:name="DejaVu Sans">
    <w:panose1 w:val="020B0603030804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890"/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>
        <w:rFonts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5">
    <w:name w:val="Intense Emphasis"/>
    <w:basedOn w:val="9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6">
    <w:name w:val="Intense Reference"/>
    <w:basedOn w:val="9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7">
    <w:name w:val="Subtle Emphasis"/>
    <w:basedOn w:val="9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8">
    <w:name w:val="Emphasis"/>
    <w:basedOn w:val="936"/>
    <w:uiPriority w:val="20"/>
    <w:qFormat/>
    <w:pPr>
      <w:pBdr/>
      <w:spacing/>
      <w:ind/>
    </w:pPr>
    <w:rPr>
      <w:i/>
      <w:iCs/>
    </w:rPr>
  </w:style>
  <w:style w:type="character" w:styleId="709">
    <w:name w:val="Strong"/>
    <w:basedOn w:val="936"/>
    <w:uiPriority w:val="22"/>
    <w:qFormat/>
    <w:pPr>
      <w:pBdr/>
      <w:spacing/>
      <w:ind/>
    </w:pPr>
    <w:rPr>
      <w:b/>
      <w:bCs/>
    </w:rPr>
  </w:style>
  <w:style w:type="character" w:styleId="710">
    <w:name w:val="Subtle Reference"/>
    <w:basedOn w:val="9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11">
    <w:name w:val="Book Title"/>
    <w:basedOn w:val="93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12">
    <w:name w:val="FollowedHyperlink"/>
    <w:basedOn w:val="9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13">
    <w:name w:val="Placeholder Text"/>
    <w:basedOn w:val="936"/>
    <w:uiPriority w:val="99"/>
    <w:semiHidden/>
    <w:pPr>
      <w:pBdr/>
      <w:spacing/>
      <w:ind/>
    </w:pPr>
    <w:rPr>
      <w:color w:val="666666"/>
    </w:rPr>
  </w:style>
  <w:style w:type="character" w:styleId="714">
    <w:name w:val="Heading 1 Char"/>
    <w:link w:val="89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5">
    <w:name w:val="Heading 2"/>
    <w:basedOn w:val="889"/>
    <w:next w:val="889"/>
    <w:link w:val="7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6">
    <w:name w:val="Heading 2 Char"/>
    <w:link w:val="7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7">
    <w:name w:val="Heading 3"/>
    <w:basedOn w:val="889"/>
    <w:next w:val="889"/>
    <w:link w:val="7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8">
    <w:name w:val="Heading 3 Char"/>
    <w:link w:val="7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9">
    <w:name w:val="Heading 4"/>
    <w:basedOn w:val="889"/>
    <w:next w:val="889"/>
    <w:link w:val="7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20">
    <w:name w:val="Heading 4 Char"/>
    <w:link w:val="7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21">
    <w:name w:val="Heading 5"/>
    <w:basedOn w:val="889"/>
    <w:next w:val="889"/>
    <w:link w:val="7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22">
    <w:name w:val="Heading 5 Char"/>
    <w:link w:val="7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3">
    <w:name w:val="Heading 6"/>
    <w:basedOn w:val="889"/>
    <w:next w:val="889"/>
    <w:link w:val="7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4">
    <w:name w:val="Heading 6 Char"/>
    <w:link w:val="7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5">
    <w:name w:val="Heading 7"/>
    <w:basedOn w:val="889"/>
    <w:next w:val="889"/>
    <w:link w:val="7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6">
    <w:name w:val="Heading 7 Char"/>
    <w:link w:val="7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7">
    <w:name w:val="Heading 8"/>
    <w:basedOn w:val="889"/>
    <w:next w:val="889"/>
    <w:link w:val="7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8">
    <w:name w:val="Heading 8 Char"/>
    <w:link w:val="7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9">
    <w:name w:val="Heading 9"/>
    <w:basedOn w:val="889"/>
    <w:next w:val="889"/>
    <w:link w:val="7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0">
    <w:name w:val="Heading 9 Char"/>
    <w:link w:val="7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31">
    <w:name w:val="List Paragraph"/>
    <w:basedOn w:val="889"/>
    <w:uiPriority w:val="34"/>
    <w:qFormat/>
    <w:pPr>
      <w:pBdr/>
      <w:spacing/>
      <w:ind w:left="720"/>
      <w:contextualSpacing w:val="true"/>
    </w:pPr>
  </w:style>
  <w:style w:type="paragraph" w:styleId="732">
    <w:name w:val="No Spacing"/>
    <w:uiPriority w:val="1"/>
    <w:qFormat/>
    <w:pPr>
      <w:pBdr/>
      <w:spacing w:after="0" w:before="0" w:line="240" w:lineRule="auto"/>
      <w:ind/>
    </w:pPr>
  </w:style>
  <w:style w:type="paragraph" w:styleId="733">
    <w:name w:val="Title"/>
    <w:basedOn w:val="889"/>
    <w:next w:val="889"/>
    <w:link w:val="734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4">
    <w:name w:val="Title Char"/>
    <w:link w:val="733"/>
    <w:uiPriority w:val="10"/>
    <w:pPr>
      <w:pBdr/>
      <w:spacing/>
      <w:ind/>
    </w:pPr>
    <w:rPr>
      <w:sz w:val="48"/>
      <w:szCs w:val="48"/>
    </w:rPr>
  </w:style>
  <w:style w:type="paragraph" w:styleId="735">
    <w:name w:val="Subtitle"/>
    <w:basedOn w:val="889"/>
    <w:next w:val="889"/>
    <w:link w:val="736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6">
    <w:name w:val="Subtitle Char"/>
    <w:link w:val="735"/>
    <w:uiPriority w:val="11"/>
    <w:pPr>
      <w:pBdr/>
      <w:spacing/>
      <w:ind/>
    </w:pPr>
    <w:rPr>
      <w:sz w:val="24"/>
      <w:szCs w:val="24"/>
    </w:rPr>
  </w:style>
  <w:style w:type="paragraph" w:styleId="737">
    <w:name w:val="Quote"/>
    <w:basedOn w:val="889"/>
    <w:next w:val="889"/>
    <w:link w:val="738"/>
    <w:uiPriority w:val="29"/>
    <w:qFormat/>
    <w:pPr>
      <w:pBdr/>
      <w:spacing/>
      <w:ind w:right="720" w:left="720"/>
    </w:pPr>
    <w:rPr>
      <w:i/>
    </w:rPr>
  </w:style>
  <w:style w:type="character" w:styleId="738">
    <w:name w:val="Quote Char"/>
    <w:link w:val="737"/>
    <w:uiPriority w:val="29"/>
    <w:pPr>
      <w:pBdr/>
      <w:spacing/>
      <w:ind/>
    </w:pPr>
    <w:rPr>
      <w:i/>
    </w:rPr>
  </w:style>
  <w:style w:type="paragraph" w:styleId="739">
    <w:name w:val="Intense Quote"/>
    <w:basedOn w:val="889"/>
    <w:next w:val="889"/>
    <w:link w:val="740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40">
    <w:name w:val="Intense Quote Char"/>
    <w:link w:val="739"/>
    <w:uiPriority w:val="30"/>
    <w:pPr>
      <w:pBdr/>
      <w:spacing/>
      <w:ind/>
    </w:pPr>
    <w:rPr>
      <w:i/>
    </w:rPr>
  </w:style>
  <w:style w:type="paragraph" w:styleId="741">
    <w:name w:val="Header"/>
    <w:basedOn w:val="889"/>
    <w:link w:val="742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2">
    <w:name w:val="Header Char"/>
    <w:link w:val="741"/>
    <w:uiPriority w:val="99"/>
    <w:pPr>
      <w:pBdr/>
      <w:spacing/>
      <w:ind/>
    </w:pPr>
  </w:style>
  <w:style w:type="paragraph" w:styleId="743">
    <w:name w:val="Footer"/>
    <w:basedOn w:val="889"/>
    <w:link w:val="745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4">
    <w:name w:val="Footer Char"/>
    <w:link w:val="743"/>
    <w:uiPriority w:val="99"/>
    <w:pPr>
      <w:pBdr/>
      <w:spacing/>
      <w:ind/>
    </w:pPr>
  </w:style>
  <w:style w:type="character" w:styleId="745">
    <w:name w:val="Caption Char"/>
    <w:basedOn w:val="913"/>
    <w:link w:val="743"/>
    <w:uiPriority w:val="99"/>
    <w:pPr>
      <w:pBdr/>
      <w:spacing/>
      <w:ind/>
    </w:pPr>
  </w:style>
  <w:style w:type="table" w:styleId="746">
    <w:name w:val="Table Grid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dbc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dbc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d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9fb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9fb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ce7fd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8fb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8fb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dd2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b99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b99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3bafd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464fb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464fb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efb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b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b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7ccc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8f8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8f8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rPr>
        <w:rFonts w:ascii="Arial" w:hAnsi="Arial"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ebf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rPr>
        <w:rFonts w:ascii="Arial" w:hAnsi="Arial"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22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rPr>
        <w:rFonts w:ascii="Arial" w:hAnsi="Arial"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457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rPr>
        <w:rFonts w:ascii="Arial" w:hAnsi="Arial"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41111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6b8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a7a35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c33fa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042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6e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e0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>
    <w:name w:val="footnote text"/>
    <w:basedOn w:val="889"/>
    <w:link w:val="87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3">
    <w:name w:val="Footnote Text Char"/>
    <w:link w:val="872"/>
    <w:uiPriority w:val="99"/>
    <w:pPr>
      <w:pBdr/>
      <w:spacing/>
      <w:ind/>
    </w:pPr>
    <w:rPr>
      <w:sz w:val="18"/>
    </w:rPr>
  </w:style>
  <w:style w:type="character" w:styleId="874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89"/>
    <w:link w:val="87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6">
    <w:name w:val="Endnote Text Char"/>
    <w:link w:val="875"/>
    <w:uiPriority w:val="99"/>
    <w:pPr>
      <w:pBdr/>
      <w:spacing/>
      <w:ind/>
    </w:pPr>
    <w:rPr>
      <w:sz w:val="20"/>
    </w:rPr>
  </w:style>
  <w:style w:type="character" w:styleId="877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78">
    <w:name w:val="toc 1"/>
    <w:basedOn w:val="889"/>
    <w:next w:val="889"/>
    <w:uiPriority w:val="39"/>
    <w:unhideWhenUsed/>
    <w:pPr>
      <w:pBdr/>
      <w:spacing w:after="57"/>
      <w:ind w:right="0" w:firstLine="0" w:left="0"/>
    </w:pPr>
  </w:style>
  <w:style w:type="paragraph" w:styleId="879">
    <w:name w:val="toc 2"/>
    <w:basedOn w:val="889"/>
    <w:next w:val="889"/>
    <w:uiPriority w:val="39"/>
    <w:unhideWhenUsed/>
    <w:pPr>
      <w:pBdr/>
      <w:spacing w:after="57"/>
      <w:ind w:right="0" w:firstLine="0" w:left="283"/>
    </w:pPr>
  </w:style>
  <w:style w:type="paragraph" w:styleId="880">
    <w:name w:val="toc 3"/>
    <w:basedOn w:val="889"/>
    <w:next w:val="889"/>
    <w:uiPriority w:val="39"/>
    <w:unhideWhenUsed/>
    <w:pPr>
      <w:pBdr/>
      <w:spacing w:after="57"/>
      <w:ind w:right="0" w:firstLine="0" w:left="567"/>
    </w:pPr>
  </w:style>
  <w:style w:type="paragraph" w:styleId="881">
    <w:name w:val="toc 4"/>
    <w:basedOn w:val="889"/>
    <w:next w:val="889"/>
    <w:uiPriority w:val="39"/>
    <w:unhideWhenUsed/>
    <w:pPr>
      <w:pBdr/>
      <w:spacing w:after="57"/>
      <w:ind w:right="0" w:firstLine="0" w:left="850"/>
    </w:pPr>
  </w:style>
  <w:style w:type="paragraph" w:styleId="882">
    <w:name w:val="toc 5"/>
    <w:basedOn w:val="889"/>
    <w:next w:val="889"/>
    <w:uiPriority w:val="39"/>
    <w:unhideWhenUsed/>
    <w:pPr>
      <w:pBdr/>
      <w:spacing w:after="57"/>
      <w:ind w:right="0" w:firstLine="0" w:left="1134"/>
    </w:pPr>
  </w:style>
  <w:style w:type="paragraph" w:styleId="883">
    <w:name w:val="toc 6"/>
    <w:basedOn w:val="889"/>
    <w:next w:val="889"/>
    <w:uiPriority w:val="39"/>
    <w:unhideWhenUsed/>
    <w:pPr>
      <w:pBdr/>
      <w:spacing w:after="57"/>
      <w:ind w:right="0" w:firstLine="0" w:left="1417"/>
    </w:pPr>
  </w:style>
  <w:style w:type="paragraph" w:styleId="884">
    <w:name w:val="toc 7"/>
    <w:basedOn w:val="889"/>
    <w:next w:val="889"/>
    <w:uiPriority w:val="39"/>
    <w:unhideWhenUsed/>
    <w:pPr>
      <w:pBdr/>
      <w:spacing w:after="57"/>
      <w:ind w:right="0" w:firstLine="0" w:left="1701"/>
    </w:pPr>
  </w:style>
  <w:style w:type="paragraph" w:styleId="885">
    <w:name w:val="toc 8"/>
    <w:basedOn w:val="889"/>
    <w:next w:val="889"/>
    <w:uiPriority w:val="39"/>
    <w:unhideWhenUsed/>
    <w:pPr>
      <w:pBdr/>
      <w:spacing w:after="57"/>
      <w:ind w:right="0" w:firstLine="0" w:left="1984"/>
    </w:pPr>
  </w:style>
  <w:style w:type="paragraph" w:styleId="886">
    <w:name w:val="toc 9"/>
    <w:basedOn w:val="889"/>
    <w:next w:val="889"/>
    <w:uiPriority w:val="39"/>
    <w:unhideWhenUsed/>
    <w:pPr>
      <w:pBdr/>
      <w:spacing w:after="57"/>
      <w:ind w:right="0" w:firstLine="0" w:left="2268"/>
    </w:pPr>
  </w:style>
  <w:style w:type="paragraph" w:styleId="887">
    <w:name w:val="TOC Heading"/>
    <w:uiPriority w:val="39"/>
    <w:unhideWhenUsed/>
    <w:pPr>
      <w:pBdr/>
      <w:spacing/>
      <w:ind/>
    </w:pPr>
  </w:style>
  <w:style w:type="paragraph" w:styleId="888">
    <w:name w:val="table of figures"/>
    <w:basedOn w:val="889"/>
    <w:next w:val="889"/>
    <w:uiPriority w:val="99"/>
    <w:unhideWhenUsed/>
    <w:pPr>
      <w:pBdr/>
      <w:spacing w:after="0" w:afterAutospacing="0"/>
      <w:ind/>
    </w:pPr>
  </w:style>
  <w:style w:type="paragraph" w:styleId="889" w:default="1">
    <w:name w:val="Normal"/>
    <w:qFormat/>
    <w:pPr>
      <w:widowControl w:val="true"/>
      <w:pBdr/>
      <w:spacing/>
      <w:ind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ar-SA"/>
    </w:rPr>
  </w:style>
  <w:style w:type="paragraph" w:styleId="890">
    <w:name w:val="Heading 1"/>
    <w:basedOn w:val="889"/>
    <w:next w:val="911"/>
    <w:qFormat/>
    <w:pPr>
      <w:numPr>
        <w:ilvl w:val="0"/>
        <w:numId w:val="1"/>
      </w:numPr>
      <w:pBdr/>
      <w:spacing w:after="100" w:before="100"/>
      <w:ind/>
      <w:outlineLvl w:val="0"/>
    </w:pPr>
    <w:rPr>
      <w:b/>
      <w:bCs/>
      <w:sz w:val="48"/>
      <w:szCs w:val="48"/>
      <w:lang w:val="en-US"/>
    </w:rPr>
  </w:style>
  <w:style w:type="character" w:styleId="891">
    <w:name w:val="WW8Num1z0"/>
    <w:qFormat/>
    <w:pPr>
      <w:pBdr/>
      <w:spacing/>
      <w:ind/>
    </w:pPr>
  </w:style>
  <w:style w:type="character" w:styleId="892">
    <w:name w:val="WW8Num2z0"/>
    <w:qFormat/>
    <w:pPr>
      <w:pBdr/>
      <w:spacing/>
      <w:ind/>
    </w:pPr>
    <w:rPr>
      <w:b w:val="0"/>
      <w:u w:val="none"/>
    </w:rPr>
  </w:style>
  <w:style w:type="character" w:styleId="893">
    <w:name w:val="WW8Num2z3"/>
    <w:qFormat/>
    <w:pPr>
      <w:pBdr/>
      <w:spacing/>
      <w:ind/>
    </w:pPr>
    <w:rPr>
      <w:rFonts w:ascii="Times New Roman" w:hAnsi="Times New Roman" w:eastAsia="Times New Roman" w:cs="Times New Roman"/>
    </w:rPr>
  </w:style>
  <w:style w:type="character" w:styleId="894">
    <w:name w:val="WW8Num3z0"/>
    <w:qFormat/>
    <w:pPr>
      <w:pBdr/>
      <w:spacing/>
      <w:ind/>
    </w:pPr>
    <w:rPr>
      <w:rFonts w:cs="Times New Roman"/>
    </w:rPr>
  </w:style>
  <w:style w:type="character" w:styleId="895">
    <w:name w:val="WW8Num4z0"/>
    <w:qFormat/>
    <w:pPr>
      <w:pBdr/>
      <w:spacing/>
      <w:ind/>
    </w:pPr>
  </w:style>
  <w:style w:type="character" w:styleId="896">
    <w:name w:val="WW8Num5z0"/>
    <w:qFormat/>
    <w:pPr>
      <w:pBdr/>
      <w:spacing/>
      <w:ind/>
    </w:pPr>
  </w:style>
  <w:style w:type="character" w:styleId="897">
    <w:name w:val="WW8Num6z0"/>
    <w:qFormat/>
    <w:pPr>
      <w:pBdr/>
      <w:spacing/>
      <w:ind/>
    </w:pPr>
  </w:style>
  <w:style w:type="character" w:styleId="898">
    <w:name w:val="WW8Num7z0"/>
    <w:qFormat/>
    <w:pPr>
      <w:pBdr/>
      <w:spacing/>
      <w:ind/>
    </w:pPr>
  </w:style>
  <w:style w:type="character" w:styleId="899">
    <w:name w:val="WW8Num8z0"/>
    <w:qFormat/>
    <w:pPr>
      <w:pBdr/>
      <w:spacing/>
      <w:ind/>
    </w:pPr>
  </w:style>
  <w:style w:type="character" w:styleId="900">
    <w:name w:val="WW8Num9z0"/>
    <w:qFormat/>
    <w:pPr>
      <w:pBdr/>
      <w:spacing/>
      <w:ind/>
    </w:pPr>
  </w:style>
  <w:style w:type="character" w:styleId="901">
    <w:name w:val="WW8Num10z0"/>
    <w:qFormat/>
    <w:pPr>
      <w:pBdr/>
      <w:spacing/>
      <w:ind/>
    </w:pPr>
  </w:style>
  <w:style w:type="character" w:styleId="902">
    <w:name w:val="WW8Num11z0"/>
    <w:qFormat/>
    <w:pPr>
      <w:pBdr/>
      <w:spacing/>
      <w:ind/>
    </w:pPr>
  </w:style>
  <w:style w:type="character" w:styleId="903">
    <w:name w:val="WW8Num12z0"/>
    <w:qFormat/>
    <w:pPr>
      <w:pBdr/>
      <w:spacing/>
      <w:ind/>
    </w:pPr>
  </w:style>
  <w:style w:type="character" w:styleId="904">
    <w:name w:val="WW8Num13z0"/>
    <w:qFormat/>
    <w:pPr>
      <w:pBdr/>
      <w:spacing/>
      <w:ind/>
    </w:pPr>
  </w:style>
  <w:style w:type="character" w:styleId="905">
    <w:name w:val="Основной шрифт абзаца"/>
    <w:qFormat/>
    <w:pPr>
      <w:pBdr/>
      <w:spacing/>
      <w:ind/>
    </w:pPr>
  </w:style>
  <w:style w:type="character" w:styleId="906">
    <w:name w:val="Заголовок 1 Знак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907">
    <w:name w:val="Hyperlink"/>
    <w:pPr>
      <w:pBdr/>
      <w:spacing/>
      <w:ind/>
    </w:pPr>
    <w:rPr>
      <w:color w:val="0563c1"/>
      <w:u w:val="single"/>
    </w:rPr>
  </w:style>
  <w:style w:type="character" w:styleId="908">
    <w:name w:val="Текст выноски Знак"/>
    <w:qFormat/>
    <w:pPr>
      <w:pBdr/>
      <w:spacing/>
      <w:ind/>
    </w:pPr>
    <w:rPr>
      <w:rFonts w:ascii="Segoe UI" w:hAnsi="Segoe UI" w:eastAsia="Times New Roman" w:cs="Segoe UI"/>
      <w:sz w:val="18"/>
      <w:szCs w:val="18"/>
    </w:rPr>
  </w:style>
  <w:style w:type="character" w:styleId="909">
    <w:name w:val="js-case-header-case_num"/>
    <w:qFormat/>
    <w:pPr>
      <w:pBdr/>
      <w:spacing/>
      <w:ind/>
    </w:pPr>
  </w:style>
  <w:style w:type="paragraph" w:styleId="910">
    <w:name w:val="Heading"/>
    <w:basedOn w:val="889"/>
    <w:next w:val="911"/>
    <w:qFormat/>
    <w:pPr>
      <w:keepNext w:val="true"/>
      <w:pBdr/>
      <w:spacing w:after="120" w:before="240"/>
      <w:ind/>
    </w:pPr>
    <w:rPr>
      <w:rFonts w:ascii="Arial" w:hAnsi="Arial" w:eastAsia="DejaVu Sans" w:cs="DejaVu Sans"/>
      <w:sz w:val="28"/>
      <w:szCs w:val="28"/>
    </w:rPr>
  </w:style>
  <w:style w:type="paragraph" w:styleId="911">
    <w:name w:val="Body Text"/>
    <w:basedOn w:val="889"/>
    <w:pPr>
      <w:pBdr/>
      <w:spacing w:after="140" w:before="0" w:line="276" w:lineRule="auto"/>
      <w:ind/>
    </w:pPr>
  </w:style>
  <w:style w:type="paragraph" w:styleId="912">
    <w:name w:val="List"/>
    <w:basedOn w:val="911"/>
    <w:pPr>
      <w:pBdr/>
      <w:spacing/>
      <w:ind/>
    </w:pPr>
  </w:style>
  <w:style w:type="paragraph" w:styleId="913">
    <w:name w:val="Caption"/>
    <w:basedOn w:val="889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914">
    <w:name w:val="Index"/>
    <w:basedOn w:val="889"/>
    <w:qFormat/>
    <w:pPr>
      <w:suppressLineNumbers w:val="true"/>
      <w:pBdr/>
      <w:spacing/>
      <w:ind/>
    </w:pPr>
  </w:style>
  <w:style w:type="paragraph" w:styleId="915">
    <w:name w:val="Текст выноски"/>
    <w:basedOn w:val="889"/>
    <w:qFormat/>
    <w:pPr>
      <w:pBdr/>
      <w:spacing/>
      <w:ind/>
    </w:pPr>
    <w:rPr>
      <w:rFonts w:ascii="Segoe UI" w:hAnsi="Segoe UI" w:cs="Segoe UI"/>
      <w:sz w:val="18"/>
      <w:szCs w:val="18"/>
      <w:lang w:val="en-US"/>
    </w:rPr>
  </w:style>
  <w:style w:type="paragraph" w:styleId="916">
    <w:name w:val="Абзац списка"/>
    <w:basedOn w:val="889"/>
    <w:qFormat/>
    <w:pPr>
      <w:pBdr/>
      <w:spacing w:after="0" w:before="0"/>
      <w:ind w:right="0" w:firstLine="0" w:left="720"/>
      <w:contextualSpacing w:val="true"/>
    </w:pPr>
  </w:style>
  <w:style w:type="paragraph" w:styleId="917">
    <w:name w:val="ConsPlusNormal"/>
    <w:qFormat/>
    <w:pPr>
      <w:widowControl w:val="true"/>
      <w:pBdr/>
      <w:spacing/>
      <w:ind/>
    </w:pPr>
    <w:rPr>
      <w:rFonts w:ascii="Arial" w:hAnsi="Arial" w:eastAsia="Calibri" w:cs="Arial"/>
      <w:color w:val="auto"/>
      <w:sz w:val="20"/>
      <w:szCs w:val="20"/>
      <w:lang w:val="ru-RU" w:eastAsia="zh-CN" w:bidi="ar-SA"/>
    </w:rPr>
  </w:style>
  <w:style w:type="paragraph" w:styleId="918">
    <w:name w:val="ConsPlusNonformat"/>
    <w:qFormat/>
    <w:pPr>
      <w:widowControl w:val="false"/>
      <w:pBdr/>
      <w:spacing/>
      <w:ind/>
    </w:pPr>
    <w:rPr>
      <w:rFonts w:ascii="Courier New" w:hAnsi="Courier New" w:eastAsia="Times New Roman" w:cs="Courier New"/>
      <w:color w:val="auto"/>
      <w:sz w:val="20"/>
      <w:szCs w:val="20"/>
      <w:lang w:val="ru-RU" w:eastAsia="zh-CN" w:bidi="ar-SA"/>
    </w:rPr>
  </w:style>
  <w:style w:type="paragraph" w:styleId="919">
    <w:name w:val="Без интервала"/>
    <w:qFormat/>
    <w:pPr>
      <w:widowControl w:val="true"/>
      <w:pBdr/>
      <w:spacing/>
      <w:ind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ar-SA"/>
    </w:rPr>
  </w:style>
  <w:style w:type="paragraph" w:styleId="920">
    <w:name w:val="Frame Contents"/>
    <w:basedOn w:val="889"/>
    <w:qFormat/>
    <w:pPr>
      <w:pBdr/>
      <w:spacing/>
      <w:ind/>
    </w:pPr>
  </w:style>
  <w:style w:type="paragraph" w:styleId="921">
    <w:name w:val="Table Contents"/>
    <w:basedOn w:val="889"/>
    <w:qFormat/>
    <w:pPr>
      <w:widowControl w:val="false"/>
      <w:suppressLineNumbers w:val="true"/>
      <w:pBdr/>
      <w:spacing/>
      <w:ind/>
    </w:pPr>
  </w:style>
  <w:style w:type="paragraph" w:styleId="922">
    <w:name w:val="Table Heading"/>
    <w:basedOn w:val="921"/>
    <w:qFormat/>
    <w:pPr>
      <w:suppressLineNumbers w:val="true"/>
      <w:pBdr/>
      <w:spacing/>
      <w:ind/>
      <w:jc w:val="center"/>
    </w:pPr>
    <w:rPr>
      <w:b/>
      <w:bCs/>
    </w:rPr>
  </w:style>
  <w:style w:type="numbering" w:styleId="923">
    <w:name w:val="WW8Num1"/>
    <w:qFormat/>
    <w:pPr>
      <w:pBdr/>
      <w:spacing/>
      <w:ind/>
    </w:pPr>
  </w:style>
  <w:style w:type="numbering" w:styleId="924">
    <w:name w:val="WW8Num2"/>
    <w:qFormat/>
    <w:pPr>
      <w:pBdr/>
      <w:spacing/>
      <w:ind/>
    </w:pPr>
  </w:style>
  <w:style w:type="numbering" w:styleId="925">
    <w:name w:val="WW8Num3"/>
    <w:qFormat/>
    <w:pPr>
      <w:pBdr/>
      <w:spacing/>
      <w:ind/>
    </w:pPr>
  </w:style>
  <w:style w:type="numbering" w:styleId="926">
    <w:name w:val="WW8Num4"/>
    <w:qFormat/>
    <w:pPr>
      <w:pBdr/>
      <w:spacing/>
      <w:ind/>
    </w:pPr>
  </w:style>
  <w:style w:type="numbering" w:styleId="927">
    <w:name w:val="WW8Num5"/>
    <w:qFormat/>
    <w:pPr>
      <w:pBdr/>
      <w:spacing/>
      <w:ind/>
    </w:pPr>
  </w:style>
  <w:style w:type="numbering" w:styleId="928">
    <w:name w:val="WW8Num6"/>
    <w:qFormat/>
    <w:pPr>
      <w:pBdr/>
      <w:spacing/>
      <w:ind/>
    </w:pPr>
  </w:style>
  <w:style w:type="numbering" w:styleId="929">
    <w:name w:val="WW8Num7"/>
    <w:qFormat/>
    <w:pPr>
      <w:pBdr/>
      <w:spacing/>
      <w:ind/>
    </w:pPr>
  </w:style>
  <w:style w:type="numbering" w:styleId="930">
    <w:name w:val="WW8Num8"/>
    <w:qFormat/>
    <w:pPr>
      <w:pBdr/>
      <w:spacing/>
      <w:ind/>
    </w:pPr>
  </w:style>
  <w:style w:type="numbering" w:styleId="931">
    <w:name w:val="WW8Num9"/>
    <w:qFormat/>
    <w:pPr>
      <w:pBdr/>
      <w:spacing/>
      <w:ind/>
    </w:pPr>
  </w:style>
  <w:style w:type="numbering" w:styleId="932">
    <w:name w:val="WW8Num10"/>
    <w:qFormat/>
    <w:pPr>
      <w:pBdr/>
      <w:spacing/>
      <w:ind/>
    </w:pPr>
  </w:style>
  <w:style w:type="numbering" w:styleId="933">
    <w:name w:val="WW8Num11"/>
    <w:qFormat/>
    <w:pPr>
      <w:pBdr/>
      <w:spacing/>
      <w:ind/>
    </w:pPr>
  </w:style>
  <w:style w:type="numbering" w:styleId="934">
    <w:name w:val="WW8Num12"/>
    <w:qFormat/>
    <w:pPr>
      <w:pBdr/>
      <w:spacing/>
      <w:ind/>
    </w:pPr>
  </w:style>
  <w:style w:type="numbering" w:styleId="935">
    <w:name w:val="WW8Num13"/>
    <w:qFormat/>
    <w:pPr>
      <w:pBdr/>
      <w:spacing/>
      <w:ind/>
    </w:pPr>
  </w:style>
  <w:style w:type="character" w:styleId="936" w:default="1">
    <w:name w:val="Default Paragraph Font"/>
    <w:uiPriority w:val="1"/>
    <w:semiHidden/>
    <w:unhideWhenUsed/>
    <w:pPr>
      <w:pBdr/>
      <w:spacing/>
      <w:ind/>
    </w:pPr>
  </w:style>
  <w:style w:type="numbering" w:styleId="937" w:default="1">
    <w:name w:val="No List"/>
    <w:uiPriority w:val="99"/>
    <w:semiHidden/>
    <w:unhideWhenUsed/>
    <w:pPr>
      <w:pBdr/>
      <w:spacing/>
      <w:ind/>
    </w:pPr>
  </w:style>
  <w:style w:type="table" w:styleId="938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Низамов</dc:creator>
  <cp:keywords/>
  <dc:description/>
  <dc:language>en-US</dc:language>
  <cp:revision>30</cp:revision>
  <dcterms:created xsi:type="dcterms:W3CDTF">2024-03-20T16:51:00Z</dcterms:created>
  <dcterms:modified xsi:type="dcterms:W3CDTF">2025-12-29T17:56:59Z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94CFC82091304C3C8ACC60BB55A90B32</vt:lpwstr>
  </property>
  <property fmtid="{D5CDD505-2E9C-101B-9397-08002B2CF9AE}" pid="3" name="KSOProductBuildVer">
    <vt:lpwstr>1049-11.2.0.11254</vt:lpwstr>
  </property>
</Properties>
</file>