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ru-RU"/>
        </w:rPr>
        <w:t>ЗАКЛЮЧЕНИЕ</w:t>
      </w:r>
    </w:p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ru-RU"/>
        </w:rPr>
        <w:t>о наличии (отсутствии) признаков фиктивного или преднамеренного банкротства</w:t>
      </w:r>
    </w:p>
    <w:tbl>
      <w:tblPr>
        <w:tblW w:w="9923" w:type="dxa"/>
        <w:jc w:val="start"/>
        <w:tblInd w:w="-28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6"/>
        <w:gridCol w:w="5667"/>
      </w:tblGrid>
      <w:tr>
        <w:trPr/>
        <w:tc>
          <w:tcPr>
            <w:tcW w:w="4256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Дата: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 xml:space="preserve">{{ ТЕКУЩАЯ_ДАТА('«дд» ММММР гггг') }} г.</w:t>
            </w:r>
          </w:p>
        </w:tc>
        <w:tc>
          <w:tcPr>
            <w:tcW w:w="5667" w:type="dxa"/>
            <w:tcBorders/>
          </w:tcPr>
          <w:p>
            <w:pPr>
              <w:pStyle w:val="Normal"/>
              <w:autoSpaceDE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                                        </w:t>
            </w:r>
          </w:p>
          <w:p>
            <w:pPr>
              <w:pStyle w:val="Normal"/>
              <w:autoSpaceDE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                                        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Место составления: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>г. Санкт-Петербург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782" w:type="dxa"/>
        <w:jc w:val="start"/>
        <w:tblInd w:w="-21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678"/>
        <w:gridCol w:w="5104"/>
      </w:tblGrid>
      <w:tr>
        <w:trPr>
          <w:trHeight w:val="23" w:hRule="atLeast"/>
        </w:trPr>
        <w:tc>
          <w:tcPr>
            <w:tcW w:w="4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Наименование арбитражного суда, в производстве которого находится дело о банкротстве</w:t>
            </w:r>
          </w:p>
        </w:tc>
        <w:tc>
          <w:tcPr>
            <w:tcW w:w="5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 xml:space="preserve">{{ court.name }}</w:t>
            </w:r>
          </w:p>
        </w:tc>
      </w:tr>
      <w:tr>
        <w:trPr>
          <w:trHeight w:val="23" w:hRule="atLeast"/>
        </w:trPr>
        <w:tc>
          <w:tcPr>
            <w:tcW w:w="4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Номер дела</w:t>
            </w:r>
          </w:p>
        </w:tc>
        <w:tc>
          <w:tcPr>
            <w:tcW w:w="5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 xml:space="preserve">{{ caseNumber }}</w:t>
            </w:r>
          </w:p>
        </w:tc>
      </w:tr>
      <w:tr>
        <w:trPr>
          <w:trHeight w:val="23" w:hRule="atLeast"/>
        </w:trPr>
        <w:tc>
          <w:tcPr>
            <w:tcW w:w="4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Дата принятия судебного акта о введении процедуры банкротства</w:t>
            </w:r>
          </w:p>
        </w:tc>
        <w:tc>
          <w:tcPr>
            <w:tcW w:w="5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 xml:space="preserve">{{ procedureInitiationDateForPublication }}</w:t>
            </w:r>
          </w:p>
        </w:tc>
      </w:tr>
      <w:tr>
        <w:trPr>
          <w:trHeight w:val="23" w:hRule="atLeast"/>
        </w:trPr>
        <w:tc>
          <w:tcPr>
            <w:tcW w:w="4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Дата принятия судебного акта об утверждении арбитражного управляющего</w:t>
            </w:r>
          </w:p>
        </w:tc>
        <w:tc>
          <w:tcPr>
            <w:tcW w:w="5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 xml:space="preserve">{{ procedureInitiationDateForPublication }}</w:t>
            </w:r>
          </w:p>
        </w:tc>
      </w:tr>
    </w:tbl>
    <w:p>
      <w:pPr>
        <w:pStyle w:val="Normal"/>
        <w:spacing w:before="120" w:after="12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/>
        <w:t>Сведения об арбитражном управляющем</w:t>
      </w:r>
    </w:p>
    <w:tbl>
      <w:tblPr>
        <w:tblW w:w="5200" w:type="pct"/>
        <w:jc w:val="start"/>
        <w:tblInd w:w="-307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4654"/>
        <w:gridCol w:w="5075"/>
      </w:tblGrid>
      <w:tr>
        <w:trPr/>
        <w:tc>
          <w:tcPr>
            <w:tcW w:w="46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Наименование саморегулируемой организации арбитражных управляющих, членом которой является арбитражный управляющий</w:t>
            </w:r>
          </w:p>
        </w:tc>
        <w:tc>
          <w:tcPr>
            <w:tcW w:w="50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>Ассоциация Арбитражных управляющих «Содружество»</w:t>
            </w:r>
          </w:p>
        </w:tc>
      </w:tr>
      <w:tr>
        <w:trPr/>
        <w:tc>
          <w:tcPr>
            <w:tcW w:w="46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Номер и дата регистрации в едином государственном реестре саморегулируемых организаций арбитражных управляющих</w:t>
            </w:r>
          </w:p>
        </w:tc>
        <w:tc>
          <w:tcPr>
            <w:tcW w:w="50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>0043, 21.08.2014 г.</w:t>
            </w:r>
          </w:p>
        </w:tc>
      </w:tr>
      <w:tr>
        <w:trPr/>
        <w:tc>
          <w:tcPr>
            <w:tcW w:w="46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Наименование страховой организации, с которой заключен договор о страховании ответственности арбитражного управляющего</w:t>
            </w:r>
          </w:p>
        </w:tc>
        <w:tc>
          <w:tcPr>
            <w:tcW w:w="50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АО «Д2 Страхование»</w:t>
            </w:r>
          </w:p>
        </w:tc>
      </w:tr>
      <w:tr>
        <w:trPr/>
        <w:tc>
          <w:tcPr>
            <w:tcW w:w="46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Номер договора страхования, дата его заключения и срок действия</w:t>
            </w:r>
          </w:p>
        </w:tc>
        <w:tc>
          <w:tcPr>
            <w:tcW w:w="50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Договор № </w:t>
            </w: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 xml:space="preserve">{{ financialManager.insuranceContractDescription }}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46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Адрес для направления корреспонденции арбитражному управляющему</w:t>
            </w:r>
          </w:p>
        </w:tc>
        <w:tc>
          <w:tcPr>
            <w:tcW w:w="50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195112, г Санкт-Петербург, а/я 16</w:t>
            </w:r>
          </w:p>
        </w:tc>
      </w:tr>
    </w:tbl>
    <w:p>
      <w:pPr>
        <w:pStyle w:val="Normal"/>
        <w:spacing w:before="120" w:after="12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/>
        <w:t>Сведения о должнике</w:t>
      </w:r>
    </w:p>
    <w:tbl>
      <w:tblPr>
        <w:tblW w:w="9640" w:type="dxa"/>
        <w:jc w:val="start"/>
        <w:tblInd w:w="-14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50"/>
        <w:gridCol w:w="4990"/>
      </w:tblGrid>
      <w:tr>
        <w:trPr/>
        <w:tc>
          <w:tcPr>
            <w:tcW w:w="4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Ф.И.О. </w:t>
            </w:r>
          </w:p>
        </w:tc>
        <w:tc>
          <w:tcPr>
            <w:tcW w:w="4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ru-RU" w:eastAsia="ru-RU"/>
              </w:rPr>
              <w:t xml:space="preserve">{{ fullName }}</w:t>
            </w:r>
          </w:p>
        </w:tc>
      </w:tr>
      <w:tr>
        <w:trPr/>
        <w:tc>
          <w:tcPr>
            <w:tcW w:w="4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Дата рождения </w:t>
            </w:r>
          </w:p>
        </w:tc>
        <w:tc>
          <w:tcPr>
            <w:tcW w:w="4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</w:rPr>
              <w:t xml:space="preserve">{{ birthDate }}</w:t>
            </w:r>
          </w:p>
        </w:tc>
      </w:tr>
      <w:tr>
        <w:trPr/>
        <w:tc>
          <w:tcPr>
            <w:tcW w:w="4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Место рождения</w:t>
            </w:r>
          </w:p>
        </w:tc>
        <w:tc>
          <w:tcPr>
            <w:tcW w:w="4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</w:rPr>
              <w:t xml:space="preserve">{{ birthPlace }}</w:t>
            </w:r>
          </w:p>
        </w:tc>
      </w:tr>
      <w:tr>
        <w:trPr/>
        <w:tc>
          <w:tcPr>
            <w:tcW w:w="4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ИНН </w:t>
            </w:r>
          </w:p>
        </w:tc>
        <w:tc>
          <w:tcPr>
            <w:tcW w:w="4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</w:rPr>
              <w:t xml:space="preserve">{{ inn }}</w:t>
            </w:r>
          </w:p>
        </w:tc>
      </w:tr>
      <w:tr>
        <w:trPr/>
        <w:tc>
          <w:tcPr>
            <w:tcW w:w="4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СНИЛС </w:t>
            </w:r>
          </w:p>
        </w:tc>
        <w:tc>
          <w:tcPr>
            <w:tcW w:w="4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</w:rPr>
              <w:t xml:space="preserve">{{ snils }}</w:t>
            </w:r>
          </w:p>
        </w:tc>
      </w:tr>
      <w:tr>
        <w:trPr/>
        <w:tc>
          <w:tcPr>
            <w:tcW w:w="4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Место жительства</w:t>
            </w:r>
          </w:p>
        </w:tc>
        <w:tc>
          <w:tcPr>
            <w:tcW w:w="4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</w:rPr>
            </w:pPr>
            <w:bookmarkStart w:id="0" w:name="_GoBack"/>
            <w:bookmarkEnd w:id="0"/>
            <w:r>
              <w:rPr>
                <w:rFonts w:cs="Times New Roman" w:ascii="Times New Roman" w:hAnsi="Times New Roman"/>
                <w:sz w:val="20"/>
              </w:rPr>
              <w:t xml:space="preserve">{{ fullRegistrationAddress }}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</w:rPr>
              <w:t xml:space="preserve"/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</w:r>
    </w:p>
    <w:p>
      <w:pPr>
        <w:pStyle w:val="Style19"/>
        <w:numPr>
          <w:ilvl w:val="0"/>
          <w:numId w:val="1"/>
        </w:numPr>
        <w:spacing w:before="0" w:after="60"/>
        <w:ind w:hanging="0" w:start="0" w:end="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Основания и регламент проведения проверки наличия признаков фиктивного и преднамеренного банкротства.</w:t>
      </w:r>
    </w:p>
    <w:p>
      <w:pPr>
        <w:pStyle w:val="Style19"/>
        <w:spacing w:before="60" w:after="160"/>
        <w:ind w:firstLine="709" w:start="0" w:end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Проверка наличия (отсутствия) признаков фиктивного и преднамеренного банкротства </w:t>
      </w:r>
      <w:r>
        <w:rPr>
          <w:rFonts w:cs="Times New Roman" w:ascii="Times New Roman" w:hAnsi="Times New Roman"/>
          <w:sz w:val="20"/>
          <w:szCs w:val="20"/>
          <w:lang w:val="ru-RU" w:eastAsia="ru-RU"/>
        </w:rPr>
        <w:t xml:space="preserve">{{ fullNameGenitive }}</w:t>
      </w:r>
      <w:r>
        <w:rPr>
          <w:rFonts w:cs="Times New Roman" w:ascii="Times New Roman" w:hAnsi="Times New Roman"/>
          <w:sz w:val="20"/>
          <w:szCs w:val="20"/>
          <w:lang w:val="ru-RU" w:eastAsia="ru-RU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 xml:space="preserve">проведена в процедуре реализации имущества гражданина финансовым управляющим </w:t>
      </w:r>
      <w:r>
        <w:rPr>
          <w:rFonts w:cs="Times New Roman" w:ascii="Times New Roman" w:hAnsi="Times New Roman"/>
          <w:sz w:val="20"/>
          <w:szCs w:val="20"/>
          <w:lang w:val="ru-RU" w:eastAsia="ru-RU"/>
        </w:rPr>
        <w:t>Федорцом Василием Владимировичем</w:t>
      </w:r>
      <w:r>
        <w:rPr>
          <w:rFonts w:cs="Times New Roman" w:ascii="Times New Roman" w:hAnsi="Times New Roman"/>
          <w:sz w:val="20"/>
          <w:szCs w:val="20"/>
        </w:rPr>
        <w:t>.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Исследуемый период: с «01» января </w:t>
      </w:r>
      <w:r>
        <w:rPr>
          <w:rFonts w:cs="Times New Roman" w:ascii="Times New Roman" w:hAnsi="Times New Roman"/>
          <w:sz w:val="20"/>
          <w:szCs w:val="20"/>
          <w:lang w:val="ru-RU" w:eastAsia="ru-RU"/>
        </w:rPr>
        <w:t>2020 г.</w:t>
      </w:r>
      <w:r>
        <w:rPr>
          <w:rFonts w:cs="Times New Roman" w:ascii="Times New Roman" w:hAnsi="Times New Roman"/>
          <w:sz w:val="20"/>
          <w:szCs w:val="20"/>
        </w:rPr>
        <w:t xml:space="preserve"> по </w:t>
      </w:r>
      <w:r>
        <w:rPr>
          <w:rFonts w:cs="Times New Roman" w:ascii="Times New Roman" w:hAnsi="Times New Roman"/>
          <w:sz w:val="20"/>
          <w:szCs w:val="20"/>
          <w:lang w:val="ru-RU" w:eastAsia="ru-RU"/>
        </w:rPr>
        <w:t xml:space="preserve">{{ ТЕКУЩАЯ_ДАТА('«дд» ММММР гггг') }} г.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Заключение о наличии (отсутствии) признаков фиктивного и преднамеренного банкротства </w:t>
      </w:r>
      <w:r>
        <w:rPr>
          <w:rFonts w:cs="Times New Roman" w:ascii="Times New Roman" w:hAnsi="Times New Roman"/>
          <w:sz w:val="20"/>
          <w:szCs w:val="20"/>
          <w:lang w:val="ru-RU" w:eastAsia="ru-RU"/>
        </w:rPr>
        <w:t xml:space="preserve">{{ fullNameGenitive }}</w:t>
      </w:r>
      <w:r>
        <w:rPr>
          <w:rFonts w:cs="Times New Roman" w:ascii="Times New Roman" w:hAnsi="Times New Roman"/>
          <w:sz w:val="20"/>
          <w:szCs w:val="20"/>
        </w:rPr>
        <w:t xml:space="preserve"> подготовлено в соответствии с Временными правилами проверки арбитражными управляющими наличия признаков фиктивного и преднамеренного банкротства, утвержденными постановлением Правительства Российской Федерации от 27 декабря 2004 г. № 855 (далее по тексту - Временные правила). 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Выявление признаков фиктивного и преднамеренного банкротства основывается на изучении следующих документов и материалов: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договоры, на основании которых производилось отчуждение или приобретение имущества должника;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документы, подтверждающие направление запроса на предоставление необходимой информации финансовым управляющим в государственные регистрирующие органы;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справки о задолженности перед бюджетами всех уровней и внебюджетными фондами с указанием раздельно размеров основной задолженности, штрафов, пеней и иных финансовых (экономических) санкций на дату подачи заявления о признании должника несостоятельным (банкротом) и на последнюю отчетную дату, предшествующую дате проведения проверки;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перечень имущества должника на дату подачи заявления о признании должника несостоятельным (банкротом), а также перечень имущества должника, приобретенного или отчужденного в исследуемый период;</w:t>
      </w:r>
    </w:p>
    <w:p>
      <w:pPr>
        <w:pStyle w:val="Style19"/>
        <w:ind w:firstLine="709"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иные материалы и сведения.</w:t>
      </w:r>
    </w:p>
    <w:p>
      <w:pPr>
        <w:pStyle w:val="Style19"/>
        <w:ind w:firstLine="709" w:end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Style19"/>
        <w:numPr>
          <w:ilvl w:val="0"/>
          <w:numId w:val="1"/>
        </w:numPr>
        <w:spacing w:lineRule="auto" w:line="240" w:before="120" w:after="120"/>
        <w:ind w:hanging="0" w:start="0" w:end="0"/>
        <w:contextualSpacing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sz w:val="20"/>
          <w:szCs w:val="20"/>
        </w:rPr>
        <w:t>Выявление признаков преднамеренного банкротства</w:t>
      </w:r>
    </w:p>
    <w:p>
      <w:pPr>
        <w:pStyle w:val="Style19"/>
        <w:spacing w:lineRule="auto" w:line="240" w:before="120" w:after="120"/>
        <w:ind w:start="0" w:end="0"/>
        <w:contextualSpacing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Style19"/>
        <w:spacing w:lineRule="auto" w:line="240" w:before="0" w:after="120"/>
        <w:ind w:start="0" w:end="0"/>
        <w:contextualSpacing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В соответствии с пунктом 6 Временных правил, выявление признаков преднамеренного банкротства осуществляется в два этапа.</w:t>
      </w:r>
    </w:p>
    <w:p>
      <w:pPr>
        <w:pStyle w:val="Normal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0"/>
          <w:szCs w:val="20"/>
          <w:lang w:eastAsia="ru-RU"/>
        </w:rPr>
        <w:t>2.1. Первый этап: анализ коэффициентов, характеризующих платежеспособность должника.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Ввиду отсутствия данных для анализа и сравнения (должник является физическим лицом) проведение анализа коэффициентов, характеризующих платежеспособность должника, не представляется возможным.</w:t>
      </w:r>
    </w:p>
    <w:p>
      <w:pPr>
        <w:pStyle w:val="Normal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0"/>
          <w:szCs w:val="20"/>
          <w:lang w:eastAsia="ru-RU"/>
        </w:rPr>
        <w:t>2.2. Второй этап: анализ сделок должника.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 xml:space="preserve">В соответствии с требованиями пункта 8 Временных правил анализ сделок </w:t>
      </w:r>
      <w:r>
        <w:rPr>
          <w:rFonts w:eastAsia="Times New Roman" w:cs="Times New Roman" w:ascii="Times New Roman" w:hAnsi="Times New Roman"/>
          <w:sz w:val="20"/>
          <w:szCs w:val="20"/>
          <w:lang w:val="ru-RU" w:eastAsia="ru-RU"/>
        </w:rPr>
        <w:t xml:space="preserve">{{ fullNameGenitive }}</w:t>
      </w: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 xml:space="preserve"> проводится с целью установления соответствия сделок и действий (бездействия) </w:t>
      </w:r>
      <w:r>
        <w:rPr>
          <w:rFonts w:eastAsia="Times New Roman" w:cs="Times New Roman" w:ascii="Times New Roman" w:hAnsi="Times New Roman"/>
          <w:sz w:val="20"/>
          <w:szCs w:val="20"/>
          <w:lang w:val="ru-RU" w:eastAsia="ru-RU"/>
        </w:rPr>
        <w:t xml:space="preserve">должника </w:t>
      </w: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 xml:space="preserve">законодательству Российской Федерации, а также в целях выявления сделок, заключенных или исполненных на условиях, не соответствующих рыночным условиям, что послужило причиной возникновения или увеличения неплатежеспособности </w:t>
      </w:r>
      <w:r>
        <w:rPr>
          <w:rFonts w:eastAsia="Times New Roman" w:cs="Times New Roman" w:ascii="Times New Roman" w:hAnsi="Times New Roman"/>
          <w:sz w:val="20"/>
          <w:szCs w:val="20"/>
          <w:lang w:val="ru-RU" w:eastAsia="ru-RU"/>
        </w:rPr>
        <w:t>должника.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В соответствии с пунктом 9 Временных правил к сделкам, заключенным на условиях, не соответствующих рыночным условиям, относятся: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сделки по отчуждению имущества должника, не являющиеся сделками купли-продажи, направленные на замещение имущества должника менее ликвидным;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сделки купли-продажи, осуществляемые с имуществом должника, заключенные на заведомо невыгодных для должника условиях, а также осуществляемые с имуществом, без которого невозможна основная деятельность должника;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сделки, связанные с возникновением обязательств должника, не обеспеченные имуществом, а также влекущие за собой приобретение неликвидного имущества;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сделки по замене одних обязательств другими, заключенные на заведомо невыгодных условиях.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Заведомо невыгодные условия сделки, заключенной должником, могут касаться, в частности, цены имущества, работ и услуг, вида и срока платежа по сделке.</w:t>
      </w:r>
    </w:p>
    <w:p>
      <w:pPr>
        <w:pStyle w:val="Style23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На основании анализа сделок Должника, за анализируемый период не были выявлены сделки и действия (бездействия), не соответствующие законодательству Российской Федерации, а также не были выявлены сделки, заключенные или исполненные на условиях, не соответствующих рыночным условиям, что послужило причиной возникновения или увеличения неплатежеспособности должника и причинило Должнику реальный ущерб в денежной форме.</w:t>
      </w:r>
    </w:p>
    <w:p>
      <w:pPr>
        <w:pStyle w:val="Style23"/>
        <w:spacing w:before="0" w:after="120"/>
        <w:jc w:val="both"/>
        <w:rPr>
          <w:sz w:val="20"/>
          <w:szCs w:val="20"/>
        </w:rPr>
      </w:pPr>
      <w:r>
        <w:rPr>
          <w:sz w:val="20"/>
          <w:szCs w:val="20"/>
        </w:rPr>
        <w:t>Таким образом, в соответствии с пунктом 10 Временных правил следует сделать вывод об отсутствии признаков преднамеренного банкротства.</w:t>
      </w:r>
    </w:p>
    <w:p>
      <w:pPr>
        <w:pStyle w:val="Style19"/>
        <w:numPr>
          <w:ilvl w:val="0"/>
          <w:numId w:val="1"/>
        </w:numPr>
        <w:ind w:hanging="0" w:start="0" w:end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Выявление признаков фиктивного банкротства</w:t>
      </w:r>
    </w:p>
    <w:p>
      <w:pPr>
        <w:pStyle w:val="Style23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На основании Определения Арбитражного суда </w:t>
      </w:r>
      <w:r>
        <w:rPr>
          <w:sz w:val="20"/>
          <w:szCs w:val="20"/>
        </w:rPr>
        <w:t xml:space="preserve">{{ court.shortName }}</w:t>
      </w:r>
      <w:r>
        <w:rPr>
          <w:sz w:val="20"/>
          <w:szCs w:val="20"/>
        </w:rPr>
        <w:t xml:space="preserve"> от </w:t>
      </w:r>
      <w:r>
        <w:rPr>
          <w:sz w:val="20"/>
          <w:szCs w:val="20"/>
        </w:rPr>
        <w:t xml:space="preserve">{{ caseInitiationDate }}</w:t>
      </w:r>
      <w:r>
        <w:rPr>
          <w:sz w:val="20"/>
          <w:szCs w:val="20"/>
        </w:rPr>
        <w:t xml:space="preserve"> г. дело о несостоятельности (банкротстве) № </w:t>
      </w:r>
      <w:r>
        <w:rPr>
          <w:sz w:val="20"/>
          <w:szCs w:val="20"/>
        </w:rPr>
        <w:t xml:space="preserve">{{ caseNumber }}</w:t>
      </w:r>
      <w:r>
        <w:rPr>
          <w:sz w:val="20"/>
          <w:szCs w:val="20"/>
        </w:rPr>
        <w:t xml:space="preserve"> возбуждено по заявлению Должника. </w:t>
      </w:r>
    </w:p>
    <w:p>
      <w:pPr>
        <w:pStyle w:val="Style23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Следовательно, в соответствии с пунктом 11 Временных правил, следует провести проверку наличия признаков фиктивного банкротства. </w:t>
      </w:r>
    </w:p>
    <w:p>
      <w:pPr>
        <w:pStyle w:val="Style23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В соответствии с п. 12 Временных правил для установления наличия (отсутствия) признаков фиктивного банкротства проводится анализ значений и динамики коэффициентов, характеризующих платежеспособность должника, рассчитанных за исследуемый период в соответствии с Правилами проведения арбитражными управляющими финансового анализа, утвержденными постановлением Правительства Российской Федерации от 25 июня 2003 г. № 367. </w:t>
      </w:r>
    </w:p>
    <w:p>
      <w:pPr>
        <w:pStyle w:val="Style23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Анализ значений и динамики данных показателей невозможно провести по причине отсутствия информационного массива. Тем не менее, из анализа движения имущественных прав должника следует, что на дату подачи в суд заявления о признании Должника несостоятельным (банкротом), у него отсутствовала возможность в полном объеме удовлетворить требования кредиторов по денежным обязательствам и (или) об уплате обязательных платежей. </w:t>
      </w:r>
    </w:p>
    <w:p>
      <w:pPr>
        <w:pStyle w:val="Style23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Таким образом, в соответствии с пунктом 13 Временных правил, следует сделать вывод о том, что признаки фиктивного банкротства отсутствуют. </w:t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</w:r>
    </w:p>
    <w:p>
      <w:pPr>
        <w:pStyle w:val="Style19"/>
        <w:numPr>
          <w:ilvl w:val="0"/>
          <w:numId w:val="1"/>
        </w:numPr>
        <w:ind w:hanging="0" w:start="0" w:end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Выводы</w:t>
      </w:r>
    </w:p>
    <w:p>
      <w:pPr>
        <w:pStyle w:val="Style1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На основании проведенной проверки наличия (отсутствия) признаков фиктивного и преднамеренного банкротства </w:t>
      </w:r>
      <w:r>
        <w:rPr>
          <w:rFonts w:cs="Times New Roman" w:ascii="Times New Roman" w:hAnsi="Times New Roman"/>
          <w:sz w:val="20"/>
          <w:szCs w:val="20"/>
          <w:lang w:val="ru-RU" w:eastAsia="ru-RU"/>
        </w:rPr>
        <w:t xml:space="preserve">{{ fullNameGenitive }}</w:t>
      </w:r>
      <w:r>
        <w:rPr>
          <w:rFonts w:cs="Times New Roman" w:ascii="Times New Roman" w:hAnsi="Times New Roman"/>
          <w:sz w:val="20"/>
          <w:szCs w:val="20"/>
        </w:rPr>
        <w:t>, проведенной в процедуре реализации имущества гражданина за исследуемый период были сделаны следующие выводы:</w:t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об отсутствии признаков преднамеренного банкротства;</w:t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об отсутствии признаков фиктивного банкротства.</w:t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Style19"/>
        <w:ind w:start="0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4607"/>
        <w:gridCol w:w="139"/>
        <w:gridCol w:w="4609"/>
      </w:tblGrid>
      <w:tr>
        <w:trPr/>
        <w:tc>
          <w:tcPr>
            <w:tcW w:w="4607" w:type="dxa"/>
            <w:tcBorders/>
          </w:tcPr>
          <w:p>
            <w:pPr>
              <w:pStyle w:val="Normal"/>
              <w:spacing w:lineRule="auto" w:line="240" w:before="120" w:after="12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  <w:p>
            <w:pPr>
              <w:pStyle w:val="Normal"/>
              <w:spacing w:lineRule="auto" w:line="240" w:before="120" w:after="12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120" w:after="12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  <w:lang w:eastAsia="ru-RU"/>
              </w:rPr>
              <w:t xml:space="preserve">Финансовый управляющий </w:t>
              <w:br/>
            </w: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  <w:lang w:val="ru-RU" w:eastAsia="ru-RU"/>
              </w:rPr>
              <w:t xml:space="preserve">{{ fullNameGenitive }}</w:t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45" w:type="dxa"/>
                <w:start w:w="45" w:type="dxa"/>
                <w:bottom w:w="45" w:type="dxa"/>
                <w:end w:w="45" w:type="dxa"/>
              </w:tblCellMar>
            </w:tblPr>
            <w:tblGrid>
              <w:gridCol w:w="4517"/>
            </w:tblGrid>
            <w:tr>
              <w:trPr/>
              <w:tc>
                <w:tcPr>
                  <w:tcW w:w="4517" w:type="dxa"/>
                  <w:tcBorders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609" w:type="dxa"/>
            <w:tcBorders/>
          </w:tcPr>
          <w:p>
            <w:pPr>
              <w:pStyle w:val="Normal"/>
              <w:spacing w:lineRule="auto" w:line="240" w:before="120" w:after="120"/>
              <w:jc w:val="end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  <w:p>
            <w:pPr>
              <w:pStyle w:val="Normal"/>
              <w:spacing w:lineRule="auto" w:line="240" w:before="120" w:after="120"/>
              <w:jc w:val="end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drawing>
                <wp:inline distT="0" distB="0" distL="0" distR="0">
                  <wp:extent cx="959485" cy="36512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5" t="-118" r="-45" b="-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9485" cy="365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                   </w:t>
            </w: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lang w:eastAsia="ru-RU"/>
              </w:rPr>
              <w:t>В.В. Федорец</w:t>
            </w:r>
          </w:p>
        </w:tc>
      </w:tr>
    </w:tbl>
    <w:p>
      <w:pPr>
        <w:pStyle w:val="Style19"/>
        <w:spacing w:before="0" w:after="160"/>
        <w:ind w:start="0" w:end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Segoe UI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bidi="ar-SA" w:val="ru-RU" w:eastAsia="zh-CN"/>
    </w:rPr>
  </w:style>
  <w:style w:type="character" w:styleId="WW8Num1z0">
    <w:name w:val="WW8Num1z0"/>
    <w:rPr>
      <w:b/>
    </w:rPr>
  </w:style>
  <w:style w:type="character" w:styleId="Style14">
    <w:name w:val="Основной шрифт абзаца"/>
    <w:rPr/>
  </w:style>
  <w:style w:type="character" w:styleId="Style15">
    <w:name w:val="Знак примечания"/>
    <w:rPr>
      <w:sz w:val="16"/>
      <w:szCs w:val="16"/>
    </w:rPr>
  </w:style>
  <w:style w:type="character" w:styleId="Style16">
    <w:name w:val="Текст примечания Знак"/>
    <w:rPr>
      <w:sz w:val="20"/>
      <w:szCs w:val="20"/>
    </w:rPr>
  </w:style>
  <w:style w:type="character" w:styleId="Style17">
    <w:name w:val="Тема примечания Знак"/>
    <w:rPr>
      <w:b/>
      <w:bCs/>
      <w:sz w:val="20"/>
      <w:szCs w:val="20"/>
    </w:rPr>
  </w:style>
  <w:style w:type="character" w:styleId="Style18">
    <w:name w:val="Текст выноски Знак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Style19">
    <w:name w:val="Абзац списка"/>
    <w:basedOn w:val="Normal"/>
    <w:pPr>
      <w:spacing w:before="0" w:after="160"/>
      <w:ind w:hanging="0" w:start="720" w:end="0"/>
      <w:contextualSpacing/>
    </w:pPr>
    <w:rPr/>
  </w:style>
  <w:style w:type="paragraph" w:styleId="Style20">
    <w:name w:val="Текст примечания"/>
    <w:basedOn w:val="Normal"/>
    <w:pPr>
      <w:spacing w:lineRule="auto" w:line="240"/>
    </w:pPr>
    <w:rPr>
      <w:sz w:val="20"/>
      <w:szCs w:val="20"/>
      <w:lang w:val="ru-RU"/>
    </w:rPr>
  </w:style>
  <w:style w:type="paragraph" w:styleId="Style21">
    <w:name w:val="Тема примечания"/>
    <w:basedOn w:val="Style20"/>
    <w:next w:val="Style20"/>
    <w:pPr/>
    <w:rPr>
      <w:b/>
      <w:bCs/>
    </w:rPr>
  </w:style>
  <w:style w:type="paragraph" w:styleId="Style22">
    <w:name w:val="Текст выноски"/>
    <w:basedOn w:val="Normal"/>
    <w:pPr>
      <w:spacing w:lineRule="auto" w:line="240" w:before="0" w:after="0"/>
    </w:pPr>
    <w:rPr>
      <w:rFonts w:ascii="Segoe UI" w:hAnsi="Segoe UI" w:cs="Segoe UI"/>
      <w:sz w:val="18"/>
      <w:szCs w:val="18"/>
      <w:lang w:val="ru-RU"/>
    </w:rPr>
  </w:style>
  <w:style w:type="paragraph" w:styleId="Style23">
    <w:name w:val="Обычный (веб)"/>
    <w:basedOn w:val="Normal"/>
    <w:pPr>
      <w:spacing w:lineRule="auto" w:line="240" w:before="240" w:after="240"/>
    </w:pPr>
    <w:rPr>
      <w:rFonts w:ascii="Times New Roman" w:hAnsi="Times New Roman" w:eastAsia="Times New Roman" w:cs="Times New Roman"/>
      <w:sz w:val="24"/>
      <w:szCs w:val="24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2019-03-22T16:31:00Z</dcterms:created>
  <dc:creator>Natalia</dc:creator>
  <dc:description/>
  <cp:keywords/>
  <dc:language>ru-RU</dc:language>
  <cp:lastModifiedBy>Рустам</cp:lastModifiedBy>
  <cp:lastPrinted>2019-04-16T18:59:00Z</cp:lastPrinted>
  <dcterms:modified xsi:type="dcterms:W3CDTF">2026-09-04T12:50:00Z</dcterms:modified>
  <cp:revision>97</cp:revision>
  <dc:subject/>
  <dc:title/>
</cp:coreProperties>
</file>