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pBdr/>
        <w:spacing/>
        <w:ind w:right="0" w:firstLine="0" w:left="0"/>
        <w:rPr>
          <w:lang w:val="en-US" w:eastAsia="en-US"/>
        </w:rPr>
      </w:pPr>
      <w:r>
        <w:rPr>
          <w:lang w:val="en-US" w:eastAsia="en-US"/>
        </w:rPr>
      </w:r>
      <w:r>
        <w:rPr>
          <w:lang w:val="en-US" w:eastAsia="en-US"/>
        </w:rPr>
      </w:r>
      <w:r>
        <w:rPr>
          <w:lang w:val="en-US" w:eastAsia="en-US"/>
        </w:rPr>
      </w:r>
    </w:p>
    <w:tbl>
      <w:tblPr>
        <w:jc w:val="center"/>
        <w:tblInd w:w="0" w:type="dxa"/>
        <w:tblW w:w="9571" w:type="dxa"/>
        <w:tblCellMar>
          <w:left w:w="108" w:type="dxa"/>
          <w:top w:w="200" w:type="dxa"/>
          <w:right w:w="108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Borders>
              <w:bottom w:val="single" w:color="000000" w:sz="4" w:space="0"/>
            </w:tcBorders>
            <w:tcW w:w="9571" w:type="dxa"/>
            <w:textDirection w:val="lrTb"/>
            <w:noWrap w:val="false"/>
          </w:tcPr>
          <w:p>
            <w:pPr>
              <w:pStyle w:val="888"/>
              <w:pBdr/>
              <w:tabs>
                <w:tab w:val="clear" w:leader="none" w:pos="708"/>
              </w:tabs>
              <w:spacing/>
              <w:ind w:right="0" w:firstLine="0" w:left="0"/>
              <w:jc w:val="center"/>
              <w:rPr>
                <w:lang w:val="en-US"/>
              </w:rPr>
            </w:pPr>
            <w:r>
              <w:rPr>
                <w:sz w:val="21"/>
                <w:szCs w:val="21"/>
                <w:lang w:val="en-US" w:eastAsia="en-US"/>
              </w:rPr>
              <w:t xml:space="preserve">Финансовый управляющий </w:t>
            </w:r>
            <w:r>
              <w:rPr>
                <w:color w:val="00b050"/>
                <w:sz w:val="21"/>
                <w:szCs w:val="21"/>
                <w:lang w:val="en-US" w:eastAsia="en-US"/>
              </w:rPr>
              <w:t xml:space="preserve">{{</w:t>
            </w:r>
            <w:r>
              <w:rPr>
                <w:color w:val="00b050"/>
                <w:sz w:val="21"/>
                <w:szCs w:val="21"/>
                <w:lang w:val="en-US" w:eastAsia="en-US"/>
              </w:rPr>
              <w:t xml:space="preserve">FullNameGenitive</w:t>
            </w:r>
            <w:r>
              <w:rPr>
                <w:color w:val="00b050"/>
                <w:sz w:val="21"/>
                <w:szCs w:val="21"/>
                <w:lang w:val="en-US" w:eastAsia="en-US"/>
              </w:rPr>
              <w:t xml:space="preserve">}}</w:t>
            </w:r>
            <w:r>
              <w:rPr>
                <w:sz w:val="21"/>
                <w:szCs w:val="21"/>
                <w:lang w:val="en-US" w:eastAsia="en-US"/>
              </w:rPr>
              <w:t xml:space="preserve"> – </w:t>
            </w:r>
            <w:r>
              <w:rPr>
                <w:color w:val="18a303" w:themeColor="accent1"/>
                <w:sz w:val="21"/>
                <w:szCs w:val="21"/>
                <w:lang w:val="en-US" w:eastAsia="en-US"/>
              </w:rPr>
              <w:t xml:space="preserve">{{</w:t>
            </w:r>
            <w:r>
              <w:rPr>
                <w:color w:val="18a303" w:themeColor="accent1"/>
                <w:sz w:val="21"/>
                <w:szCs w:val="21"/>
                <w:lang w:val="en-US" w:eastAsia="en-US"/>
              </w:rPr>
              <w:t xml:space="preserve">financialManager</w:t>
            </w:r>
            <w:r>
              <w:rPr>
                <w:color w:val="18a303" w:themeColor="accent1"/>
                <w:sz w:val="21"/>
                <w:szCs w:val="21"/>
                <w:lang w:val="en-US" w:eastAsia="en-US"/>
              </w:rPr>
              <w:t xml:space="preserve">.fio}}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Mar>
              <w:top w:w="140" w:type="dxa"/>
              <w:bottom w:w="400" w:type="dxa"/>
            </w:tcMar>
            <w:tcW w:w="9571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</w:tc>
      </w:tr>
    </w:tbl>
    <w:p>
      <w:pPr>
        <w:pStyle w:val="888"/>
        <w:pBdr/>
        <w:spacing/>
        <w:ind w:right="0" w:firstLine="0" w:left="0"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88"/>
        <w:pBdr/>
        <w:spacing/>
        <w:ind w:right="0" w:firstLine="0" w:left="0"/>
        <w:jc w:val="center"/>
        <w:rPr>
          <w:b/>
        </w:rPr>
      </w:pPr>
      <w:r>
        <w:rPr>
          <w:b/>
        </w:rPr>
        <w:t xml:space="preserve">Уведомление о</w:t>
      </w:r>
      <w:r>
        <w:rPr>
          <w:b/>
        </w:rPr>
      </w:r>
      <w:r>
        <w:rPr>
          <w:b/>
        </w:rPr>
      </w:r>
    </w:p>
    <w:p>
      <w:pPr>
        <w:pStyle w:val="888"/>
        <w:pBdr/>
        <w:spacing/>
        <w:ind w:right="0" w:firstLine="0" w:left="0"/>
        <w:jc w:val="center"/>
        <w:rPr>
          <w:b/>
        </w:rPr>
      </w:pPr>
      <w:r>
        <w:rPr>
          <w:b/>
        </w:rPr>
        <w:t xml:space="preserve">введении реализации имущества гражданина</w:t>
      </w:r>
      <w:r>
        <w:rPr>
          <w:b/>
        </w:rPr>
      </w:r>
      <w:r>
        <w:rPr>
          <w:b/>
        </w:rPr>
      </w:r>
    </w:p>
    <w:p>
      <w:pPr>
        <w:pStyle w:val="888"/>
        <w:pBdr/>
        <w:spacing/>
        <w:ind w:right="0" w:firstLine="0" w:left="0"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88"/>
        <w:pBdr/>
        <w:spacing/>
        <w:ind w:right="0" w:firstLine="0" w:left="0"/>
        <w:jc w:val="both"/>
        <w:rPr/>
      </w:pPr>
      <w:r>
        <w:rPr>
          <w:rFonts w:cs="Calibri"/>
          <w:color w:val="00b050"/>
          <w:lang w:val="en-US"/>
        </w:rPr>
        <w:t xml:space="preserve">{{</w:t>
      </w:r>
      <w:r>
        <w:rPr>
          <w:rFonts w:cs="Calibri"/>
          <w:color w:val="00b050"/>
          <w:lang w:val="en-US"/>
        </w:rPr>
        <w:t xml:space="preserve">startNotificationText</w:t>
      </w:r>
      <w:r>
        <w:rPr>
          <w:rFonts w:cs="Calibri"/>
          <w:color w:val="00b050"/>
          <w:lang w:val="en-US"/>
        </w:rPr>
        <w:t xml:space="preserve">}}</w:t>
      </w:r>
      <w:r>
        <w:rPr>
          <w:rFonts w:cs="Calibri"/>
        </w:rPr>
      </w:r>
      <w:r/>
    </w:p>
    <w:p>
      <w:pPr>
        <w:pStyle w:val="888"/>
        <w:pBdr/>
        <w:spacing/>
        <w:ind w:right="0" w:firstLine="0" w:left="0"/>
        <w:jc w:val="both"/>
        <w:rPr>
          <w:rFonts w:cs="Calibri"/>
        </w:rPr>
      </w:pPr>
      <w:r>
        <w:rPr>
          <w:rFonts w:cs="Calibri"/>
        </w:rPr>
        <w:t xml:space="preserve">Финансовым управляющим утвержден </w:t>
      </w:r>
      <w:r>
        <w:rPr>
          <w:rFonts w:cs="Calibri"/>
          <w:color w:val="18a303" w:themeColor="accent1"/>
          <w:lang w:val="en-US"/>
        </w:rPr>
        <w:t xml:space="preserve">{{</w:t>
      </w:r>
      <w:r>
        <w:rPr>
          <w:rFonts w:cs="Calibri"/>
          <w:color w:val="18a303" w:themeColor="accent1"/>
          <w:lang w:val="en-US"/>
        </w:rPr>
        <w:t xml:space="preserve">financialManagerInfo</w:t>
      </w:r>
      <w:r>
        <w:rPr>
          <w:rFonts w:cs="Calibri"/>
          <w:color w:val="18a303" w:themeColor="accent1"/>
          <w:lang w:val="en-US"/>
        </w:rPr>
        <w:t xml:space="preserve">}}</w:t>
      </w:r>
      <w:r>
        <w:rPr>
          <w:rFonts w:cs="Calibri"/>
        </w:rPr>
        <w:t xml:space="preserve">. </w:t>
      </w:r>
      <w:r>
        <w:rPr>
          <w:rFonts w:cs="Calibri"/>
        </w:rPr>
      </w:r>
      <w:r>
        <w:rPr>
          <w:rFonts w:cs="Calibri"/>
        </w:rPr>
      </w:r>
    </w:p>
    <w:p>
      <w:pPr>
        <w:pStyle w:val="888"/>
        <w:pBdr/>
        <w:spacing/>
        <w:ind w:right="0" w:firstLine="0" w:left="0"/>
        <w:jc w:val="both"/>
        <w:rPr>
          <w:i/>
        </w:rPr>
      </w:pPr>
      <w:r>
        <w:t xml:space="preserve">По имеющейся у финансового управляющего информации Вы являетесь кредитором</w:t>
      </w:r>
      <w:r>
        <w:rPr>
          <w:rFonts w:cs="Calibri"/>
          <w:color w:val="00b050"/>
          <w:lang w:val="en-US"/>
        </w:rPr>
        <w:t xml:space="preserve"> {{</w:t>
      </w:r>
      <w:r>
        <w:rPr>
          <w:rFonts w:cs="Calibri"/>
          <w:color w:val="00b050"/>
          <w:lang w:val="en-US"/>
        </w:rPr>
        <w:t xml:space="preserve">FullNameGenitive</w:t>
      </w:r>
      <w:r>
        <w:rPr>
          <w:rFonts w:cs="Calibri"/>
          <w:color w:val="00b050"/>
          <w:lang w:val="en-US"/>
        </w:rPr>
        <w:t xml:space="preserve">}}</w:t>
      </w:r>
      <w:r>
        <w:rPr>
          <w:lang w:val="en-US" w:eastAsia="en-US"/>
        </w:rPr>
        <w:t xml:space="preserve">.</w:t>
      </w:r>
      <w:r>
        <w:rPr>
          <w:i/>
        </w:rPr>
      </w:r>
      <w:r>
        <w:rPr>
          <w:i/>
        </w:rPr>
      </w:r>
    </w:p>
    <w:p>
      <w:pPr>
        <w:pStyle w:val="888"/>
        <w:pBdr/>
        <w:spacing/>
        <w:ind w:right="0" w:firstLine="0" w:left="0"/>
        <w:jc w:val="both"/>
        <w:rPr/>
      </w:pPr>
      <w:r>
        <w:t xml:space="preserve">На основании п. 8 ст. 213.9 Федерального закона от 26.10.2002 N 127-ФЗ «О несостоятельности (банкротстве)» (далее по тексту – Закон о банкротстве) уведомляю Вас о признании</w:t>
      </w:r>
      <w:r>
        <w:rPr>
          <w:rFonts w:cs="Calibri"/>
          <w:color w:val="00b050"/>
          <w:lang w:val="en-US"/>
        </w:rPr>
        <w:t xml:space="preserve"> {{</w:t>
      </w:r>
      <w:r>
        <w:rPr>
          <w:rFonts w:cs="Calibri"/>
          <w:color w:val="00b050"/>
          <w:lang w:val="en-US"/>
        </w:rPr>
        <w:t xml:space="preserve">FullNameGenitive</w:t>
      </w:r>
      <w:r>
        <w:rPr>
          <w:rFonts w:cs="Calibri"/>
          <w:color w:val="00b050"/>
          <w:lang w:val="en-US"/>
        </w:rPr>
        <w:t xml:space="preserve">}}</w:t>
      </w:r>
      <w:r>
        <w:rPr>
          <w:lang w:val="en-US" w:eastAsia="en-US"/>
        </w:rPr>
        <w:t xml:space="preserve"> </w:t>
      </w:r>
      <w:r>
        <w:t xml:space="preserve">(далее по тексту – должник) банкротом и введении реализации имущества должника</w:t>
      </w:r>
      <w:r>
        <w:t xml:space="preserve">.</w:t>
      </w:r>
      <w:r/>
    </w:p>
    <w:p>
      <w:pPr>
        <w:pStyle w:val="888"/>
        <w:pBdr/>
        <w:spacing/>
        <w:ind w:right="0" w:firstLine="0" w:left="0"/>
        <w:jc w:val="both"/>
        <w:rPr/>
      </w:pPr>
      <w:r>
        <w:t xml:space="preserve">Вы имеете право предъявить свои требования к должнику только в порядке, установленном Федеральным законом от 26.10.2002 N 127-ФЗ «О несостоятельности (банкротстве)».</w:t>
      </w:r>
      <w:r/>
    </w:p>
    <w:p>
      <w:pPr>
        <w:pStyle w:val="888"/>
        <w:pBdr/>
        <w:spacing/>
        <w:ind w:right="0" w:firstLine="0" w:left="0"/>
        <w:jc w:val="both"/>
        <w:rPr/>
      </w:pPr>
      <w:r>
        <w:t xml:space="preserve">На основании п. 4 ст. 213.24, ст. 100 Закона о банкротстве в целях участия в деле о банкротстве </w:t>
      </w:r>
      <w:r>
        <w:rPr>
          <w:rFonts w:cs="Calibri"/>
          <w:color w:val="00b050"/>
          <w:lang w:val="en-US"/>
        </w:rPr>
        <w:t xml:space="preserve">{{</w:t>
      </w:r>
      <w:r>
        <w:rPr>
          <w:rFonts w:cs="Calibri"/>
          <w:color w:val="00b050"/>
          <w:lang w:val="en-US"/>
        </w:rPr>
        <w:t xml:space="preserve">FullNameGenitive</w:t>
      </w:r>
      <w:r>
        <w:rPr>
          <w:rFonts w:cs="Calibri"/>
          <w:color w:val="00b050"/>
          <w:lang w:val="en-US"/>
        </w:rPr>
        <w:t xml:space="preserve">}}</w:t>
      </w:r>
      <w:r>
        <w:t xml:space="preserve"> Вам необходимо направить свои требования в </w:t>
      </w:r>
      <w:r>
        <w:rPr>
          <w:lang w:val="en-US" w:eastAsia="en-US"/>
        </w:rPr>
        <w:t xml:space="preserve">Арбитражный суд </w:t>
      </w:r>
      <w:r>
        <w:rPr>
          <w:rFonts w:cs="Calibri"/>
          <w:color w:val="00b050"/>
          <w:lang w:val="en-US"/>
        </w:rPr>
        <w:t xml:space="preserve">{{court.shortName}}</w:t>
      </w:r>
      <w:r>
        <w:t xml:space="preserve">, должнику и финансовому управляющему с приложением судебного акта или иных документов, подтверждающих обоснованность этих требований.</w:t>
      </w:r>
      <w:r/>
    </w:p>
    <w:p>
      <w:pPr>
        <w:pStyle w:val="888"/>
        <w:pBdr/>
        <w:spacing/>
        <w:ind w:right="0" w:firstLine="0" w:left="0"/>
        <w:jc w:val="both"/>
        <w:rPr/>
      </w:pPr>
      <w:r>
        <w:t xml:space="preserve">Документы и информацию для финансового управляющего прошу направлять по адресу:        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correspondenceAddress</w:t>
      </w:r>
      <w:r>
        <w:rPr>
          <w:color w:val="00b050"/>
          <w:lang w:val="en-US"/>
        </w:rPr>
        <w:t xml:space="preserve">}}</w:t>
      </w:r>
      <w:r>
        <w:t xml:space="preserve">.</w:t>
      </w:r>
      <w:r/>
    </w:p>
    <w:p>
      <w:pPr>
        <w:pStyle w:val="888"/>
        <w:pBdr/>
        <w:spacing/>
        <w:ind w:right="0" w:firstLine="0" w:left="0"/>
        <w:jc w:val="both"/>
        <w:rPr/>
      </w:pPr>
      <w:r/>
      <w:r/>
    </w:p>
    <w:p>
      <w:pPr>
        <w:pStyle w:val="888"/>
        <w:pBdr/>
        <w:spacing/>
        <w:ind w:right="0" w:firstLine="0" w:left="0"/>
        <w:jc w:val="both"/>
        <w:rPr/>
      </w:pPr>
      <w:r>
        <w:t xml:space="preserve">Приложение:</w:t>
      </w:r>
      <w:r/>
    </w:p>
    <w:p>
      <w:pPr>
        <w:pStyle w:val="898"/>
        <w:numPr>
          <w:ilvl w:val="0"/>
          <w:numId w:val="1"/>
        </w:numPr>
        <w:pBdr/>
        <w:spacing/>
        <w:ind w:right="0" w:hanging="360" w:left="720"/>
        <w:jc w:val="both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  <w:t xml:space="preserve">Копия</w:t>
      </w:r>
      <w:r>
        <w:rPr>
          <w:color w:val="00b050"/>
          <w:sz w:val="20"/>
          <w:szCs w:val="20"/>
          <w:highlight w:val="none"/>
          <w:lang w:val="en-US"/>
        </w:rPr>
        <w:t xml:space="preserve"> </w:t>
      </w:r>
      <w:r>
        <w:rPr>
          <w:color w:val="00b050"/>
          <w:sz w:val="20"/>
          <w:szCs w:val="20"/>
          <w:lang w:val="en-US"/>
        </w:rPr>
        <w:t xml:space="preserve">{{</w:t>
      </w:r>
      <w:r>
        <w:rPr>
          <w:color w:val="00b050"/>
          <w:sz w:val="20"/>
          <w:szCs w:val="20"/>
          <w:lang w:val="en-US"/>
        </w:rPr>
        <w:t xml:space="preserve">resolutionPart</w:t>
      </w:r>
      <w:r>
        <w:rPr>
          <w:color w:val="00b050"/>
          <w:sz w:val="20"/>
          <w:szCs w:val="20"/>
          <w:lang w:val="en-US"/>
        </w:rPr>
        <w:t xml:space="preserve">}}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 w:eastAsia="en-US"/>
        </w:rPr>
        <w:t xml:space="preserve">решения Арбитражного суда </w:t>
      </w:r>
      <w:r>
        <w:rPr>
          <w:color w:val="00b050"/>
          <w:sz w:val="20"/>
          <w:szCs w:val="20"/>
          <w:lang w:val="en-US" w:eastAsia="en-US"/>
        </w:rPr>
        <w:t xml:space="preserve">{{court.shortName}}</w:t>
      </w:r>
      <w:r>
        <w:rPr>
          <w:sz w:val="20"/>
          <w:szCs w:val="20"/>
          <w:lang w:val="en-US" w:eastAsia="en-US"/>
        </w:rPr>
        <w:t xml:space="preserve"> от </w:t>
      </w:r>
      <w:r>
        <w:rPr>
          <w:color w:val="00b050"/>
          <w:sz w:val="20"/>
          <w:szCs w:val="20"/>
          <w:highlight w:val="white"/>
          <w:lang w:val="en-US" w:eastAsia="en-US"/>
        </w:rPr>
        <w:t xml:space="preserve">{{</w:t>
      </w:r>
      <w:r>
        <w:rPr>
          <w:color w:val="00b050"/>
          <w:sz w:val="20"/>
          <w:szCs w:val="20"/>
          <w:highlight w:val="white"/>
          <w:lang w:val="en-US" w:eastAsia="en-US"/>
        </w:rPr>
        <w:t xml:space="preserve">procedureInitiationDateForPublication</w:t>
      </w:r>
      <w:r>
        <w:rPr>
          <w:color w:val="00b050"/>
          <w:sz w:val="20"/>
          <w:szCs w:val="20"/>
          <w:highlight w:val="white"/>
          <w:lang w:val="en-US" w:eastAsia="en-US"/>
        </w:rPr>
        <w:t xml:space="preserve">}}</w:t>
      </w:r>
      <w:r>
        <w:rPr>
          <w:sz w:val="20"/>
          <w:szCs w:val="20"/>
          <w:lang w:val="en-US" w:eastAsia="en-US"/>
        </w:rPr>
        <w:t xml:space="preserve"> по делу № </w:t>
      </w:r>
      <w:r>
        <w:rPr>
          <w:color w:val="00b050"/>
          <w:sz w:val="20"/>
          <w:szCs w:val="20"/>
          <w:lang w:val="en-US" w:eastAsia="en-US"/>
        </w:rPr>
        <w:t xml:space="preserve">{{</w:t>
      </w:r>
      <w:r>
        <w:rPr>
          <w:color w:val="00b050"/>
          <w:sz w:val="20"/>
          <w:szCs w:val="20"/>
          <w:lang w:val="en-US" w:eastAsia="en-US"/>
        </w:rPr>
        <w:t xml:space="preserve">CaseNumber</w:t>
      </w:r>
      <w:r>
        <w:rPr>
          <w:color w:val="00b050"/>
          <w:sz w:val="20"/>
          <w:szCs w:val="20"/>
          <w:lang w:val="en-US" w:eastAsia="en-US"/>
        </w:rPr>
        <w:t xml:space="preserve">}}</w:t>
      </w:r>
      <w:r>
        <w:rPr>
          <w:sz w:val="20"/>
          <w:szCs w:val="20"/>
        </w:rPr>
        <w:t xml:space="preserve">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888"/>
        <w:pBdr/>
        <w:spacing/>
        <w:ind w:right="0" w:firstLine="0" w:left="0"/>
        <w:jc w:val="both"/>
        <w:rPr/>
      </w:pPr>
      <w:r/>
      <w:r/>
    </w:p>
    <w:p>
      <w:pPr>
        <w:pStyle w:val="888"/>
        <w:pBdr/>
        <w:spacing/>
        <w:ind w:right="0" w:firstLine="0" w:left="0"/>
        <w:jc w:val="both"/>
        <w:rPr/>
      </w:pPr>
      <w:r/>
      <w:r/>
    </w:p>
    <w:p>
      <w:pPr>
        <w:pStyle w:val="888"/>
        <w:pBdr/>
        <w:spacing/>
        <w:ind w:right="0" w:firstLine="0" w:left="0"/>
        <w:jc w:val="both"/>
        <w:rPr/>
      </w:pPr>
      <w:r/>
      <w:r/>
    </w:p>
    <w:tbl>
      <w:tblPr>
        <w:tblInd w:w="108" w:type="dxa"/>
        <w:tblW w:w="1046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99"/>
        <w:gridCol w:w="67"/>
        <w:gridCol w:w="5200"/>
      </w:tblGrid>
      <w:tr>
        <w:trPr/>
        <w:tc>
          <w:tcPr>
            <w:tcBorders/>
            <w:tcW w:w="5199" w:type="dxa"/>
            <w:textDirection w:val="lrTb"/>
            <w:noWrap w:val="false"/>
          </w:tcPr>
          <w:p>
            <w:pPr>
              <w:pStyle w:val="888"/>
              <w:pBdr/>
              <w:tabs>
                <w:tab w:val="clear" w:leader="none" w:pos="708"/>
              </w:tabs>
              <w:spacing/>
              <w:ind w:right="0" w:firstLine="0" w:left="0"/>
              <w:rPr>
                <w:color w:val="00b050"/>
              </w:rPr>
            </w:pPr>
            <w:r>
              <w:rPr>
                <w:b/>
                <w:bCs/>
                <w:lang w:val="en-US" w:eastAsia="en-US"/>
              </w:rPr>
              <w:t xml:space="preserve">Финансовый управляющий</w:t>
            </w:r>
            <w:r>
              <w:rPr>
                <w:b/>
                <w:bCs/>
              </w:rPr>
              <w:br/>
            </w:r>
            <w:r>
              <w:rPr>
                <w:rFonts w:cs="Calibri"/>
                <w:b/>
                <w:color w:val="00b050"/>
                <w:lang w:val="en-US"/>
              </w:rPr>
              <w:t xml:space="preserve">{{</w:t>
            </w:r>
            <w:r>
              <w:rPr>
                <w:rFonts w:cs="Calibri"/>
                <w:b/>
                <w:color w:val="00b050"/>
                <w:lang w:val="en-US"/>
              </w:rPr>
              <w:t xml:space="preserve">FullNameGenitive</w:t>
            </w:r>
            <w:r>
              <w:rPr>
                <w:rFonts w:cs="Calibri"/>
                <w:b/>
                <w:color w:val="00b050"/>
                <w:lang w:val="en-US"/>
              </w:rPr>
              <w:t xml:space="preserve">}}</w:t>
            </w:r>
            <w:r>
              <w:rPr>
                <w:color w:val="00b050"/>
              </w:rPr>
            </w:r>
            <w:r>
              <w:rPr>
                <w:color w:val="00b050"/>
              </w:rPr>
            </w:r>
          </w:p>
        </w:tc>
        <w:tc>
          <w:tcPr>
            <w:tcBorders/>
            <w:tcW w:w="67" w:type="dxa"/>
            <w:vAlign w:val="center"/>
            <w:textDirection w:val="lrTb"/>
            <w:noWrap w:val="false"/>
          </w:tcPr>
          <w:p>
            <w:pPr>
              <w:pStyle w:val="888"/>
              <w:pBdr/>
              <w:tabs>
                <w:tab w:val="clear" w:leader="none" w:pos="708"/>
              </w:tabs>
              <w:spacing/>
              <w:ind w:right="0" w:firstLine="0" w:left="0"/>
              <w:jc w:val="both"/>
              <w:rPr/>
            </w:pPr>
            <w:r>
              <w:t xml:space="preserve"> </w:t>
            </w:r>
            <w:r/>
          </w:p>
        </w:tc>
        <w:tc>
          <w:tcPr>
            <w:tcBorders/>
            <w:tcW w:w="5200" w:type="dxa"/>
            <w:textDirection w:val="lrTb"/>
            <w:noWrap w:val="false"/>
          </w:tcPr>
          <w:p>
            <w:pPr>
              <w:pStyle w:val="888"/>
              <w:pBdr/>
              <w:tabs>
                <w:tab w:val="clear" w:leader="none" w:pos="708"/>
              </w:tabs>
              <w:spacing/>
              <w:ind w:right="0" w:firstLine="0" w:left="0"/>
              <w:jc w:val="right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935" distR="114935" simplePos="0" relativeHeight="2" behindDoc="0" locked="0" layoutInCell="0" allowOverlap="1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10160</wp:posOffset>
                      </wp:positionV>
                      <wp:extent cx="1179195" cy="448310"/>
                      <wp:effectExtent l="0" t="0" r="0" b="0"/>
                      <wp:wrapTopAndBottom/>
                      <wp:docPr id="1" name="Image1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1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79195" cy="4483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;o:allowoverlap:true;o:allowincell:false;mso-position-horizontal-relative:text;margin-left:8.20pt;mso-position-horizontal:absolute;mso-position-vertical-relative:text;margin-top:0.80pt;mso-position-vertical:absolute;width:92.85pt;height:35.30pt;mso-wrap-distance-left:9.05pt;mso-wrap-distance-top:0.00pt;mso-wrap-distance-right:9.05pt;mso-wrap-distance-bottom:0.00pt;z-index:1;" stroked="false">
                      <w10:wrap type="topAndBottom"/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  <w:t xml:space="preserve">   </w:t>
            </w:r>
            <w:r>
              <w:rPr>
                <w:b/>
                <w:color w:val="00b050"/>
                <w:lang w:val="en-US" w:eastAsia="en-US"/>
              </w:rPr>
              <w:t xml:space="preserve">{{</w:t>
            </w:r>
            <w:r>
              <w:rPr>
                <w:b/>
                <w:color w:val="00b050"/>
                <w:lang w:val="en-US" w:eastAsia="en-US"/>
              </w:rPr>
              <w:t xml:space="preserve">financialManager</w:t>
            </w:r>
            <w:r>
              <w:rPr>
                <w:b/>
                <w:color w:val="00b050"/>
                <w:lang w:val="en-US" w:eastAsia="en-US"/>
              </w:rPr>
              <w:t xml:space="preserve">.</w:t>
            </w:r>
            <w:r>
              <w:rPr>
                <w:b/>
                <w:color w:val="00b050"/>
                <w:lang w:val="en-US" w:eastAsia="en-US"/>
              </w:rPr>
              <w:t xml:space="preserve">ShortFio</w:t>
            </w:r>
            <w:r>
              <w:rPr>
                <w:b/>
                <w:color w:val="00b050"/>
                <w:lang w:val="en-US" w:eastAsia="en-US"/>
              </w:rPr>
              <w:t xml:space="preserve">}}</w:t>
            </w:r>
            <w:r>
              <w:rPr>
                <w:b/>
              </w:rPr>
              <w:t xml:space="preserve"> </w:t>
            </w:r>
            <w:r/>
          </w:p>
        </w:tc>
      </w:tr>
    </w:tbl>
    <w:p>
      <w:pPr>
        <w:pStyle w:val="888"/>
        <w:pBdr/>
        <w:spacing/>
        <w:ind w:right="0" w:firstLine="0" w:left="0"/>
        <w:jc w:val="both"/>
        <w:rPr/>
      </w:pPr>
      <w:r/>
      <w:r/>
    </w:p>
    <w:p>
      <w:pPr>
        <w:pStyle w:val="888"/>
        <w:pBdr/>
        <w:spacing/>
        <w:ind w:right="0" w:firstLine="0" w:left="0"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Segoe UI">
    <w:panose1 w:val="020B0503020204020204"/>
  </w:font>
  <w:font w:name="DejaVu Sans">
    <w:panose1 w:val="020B0603030804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6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70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71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1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2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13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714">
    <w:name w:val="Heading 1"/>
    <w:basedOn w:val="888"/>
    <w:next w:val="888"/>
    <w:link w:val="71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5">
    <w:name w:val="Heading 1 Char"/>
    <w:basedOn w:val="889"/>
    <w:link w:val="71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6">
    <w:name w:val="Heading 2"/>
    <w:basedOn w:val="888"/>
    <w:next w:val="888"/>
    <w:link w:val="71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7">
    <w:name w:val="Heading 2 Char"/>
    <w:basedOn w:val="889"/>
    <w:link w:val="71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8">
    <w:name w:val="Heading 3"/>
    <w:basedOn w:val="888"/>
    <w:next w:val="888"/>
    <w:link w:val="71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9">
    <w:name w:val="Heading 3 Char"/>
    <w:basedOn w:val="889"/>
    <w:link w:val="71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20">
    <w:name w:val="Heading 4"/>
    <w:basedOn w:val="888"/>
    <w:next w:val="888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1">
    <w:name w:val="Heading 4 Char"/>
    <w:basedOn w:val="889"/>
    <w:link w:val="72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22">
    <w:name w:val="Heading 5"/>
    <w:basedOn w:val="888"/>
    <w:next w:val="888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3">
    <w:name w:val="Heading 5 Char"/>
    <w:basedOn w:val="889"/>
    <w:link w:val="72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4">
    <w:name w:val="Heading 6"/>
    <w:basedOn w:val="888"/>
    <w:next w:val="888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5">
    <w:name w:val="Heading 6 Char"/>
    <w:basedOn w:val="889"/>
    <w:link w:val="72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6">
    <w:name w:val="Heading 7"/>
    <w:basedOn w:val="888"/>
    <w:next w:val="888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7">
    <w:name w:val="Heading 7 Char"/>
    <w:basedOn w:val="889"/>
    <w:link w:val="72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8">
    <w:name w:val="Heading 8"/>
    <w:basedOn w:val="888"/>
    <w:next w:val="888"/>
    <w:link w:val="72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9">
    <w:name w:val="Heading 8 Char"/>
    <w:basedOn w:val="889"/>
    <w:link w:val="72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30">
    <w:name w:val="Heading 9"/>
    <w:basedOn w:val="888"/>
    <w:next w:val="888"/>
    <w:link w:val="73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1">
    <w:name w:val="Heading 9 Char"/>
    <w:basedOn w:val="889"/>
    <w:link w:val="73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32">
    <w:name w:val="No Spacing"/>
    <w:uiPriority w:val="1"/>
    <w:qFormat/>
    <w:pPr>
      <w:pBdr/>
      <w:spacing w:after="0" w:before="0" w:line="240" w:lineRule="auto"/>
      <w:ind/>
    </w:pPr>
  </w:style>
  <w:style w:type="paragraph" w:styleId="733">
    <w:name w:val="Title"/>
    <w:basedOn w:val="888"/>
    <w:next w:val="888"/>
    <w:link w:val="73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4">
    <w:name w:val="Title Char"/>
    <w:basedOn w:val="889"/>
    <w:link w:val="733"/>
    <w:uiPriority w:val="10"/>
    <w:pPr>
      <w:pBdr/>
      <w:spacing/>
      <w:ind/>
    </w:pPr>
    <w:rPr>
      <w:sz w:val="48"/>
      <w:szCs w:val="48"/>
    </w:rPr>
  </w:style>
  <w:style w:type="paragraph" w:styleId="735">
    <w:name w:val="Subtitle"/>
    <w:basedOn w:val="888"/>
    <w:next w:val="888"/>
    <w:link w:val="736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6">
    <w:name w:val="Subtitle Char"/>
    <w:basedOn w:val="889"/>
    <w:link w:val="735"/>
    <w:uiPriority w:val="11"/>
    <w:pPr>
      <w:pBdr/>
      <w:spacing/>
      <w:ind/>
    </w:pPr>
    <w:rPr>
      <w:sz w:val="24"/>
      <w:szCs w:val="24"/>
    </w:rPr>
  </w:style>
  <w:style w:type="paragraph" w:styleId="737">
    <w:name w:val="Quote"/>
    <w:basedOn w:val="888"/>
    <w:next w:val="888"/>
    <w:link w:val="738"/>
    <w:uiPriority w:val="29"/>
    <w:qFormat/>
    <w:pPr>
      <w:pBdr/>
      <w:spacing/>
      <w:ind w:right="720" w:left="720"/>
    </w:pPr>
    <w:rPr>
      <w:i/>
    </w:rPr>
  </w:style>
  <w:style w:type="character" w:styleId="738">
    <w:name w:val="Quote Char"/>
    <w:link w:val="737"/>
    <w:uiPriority w:val="29"/>
    <w:pPr>
      <w:pBdr/>
      <w:spacing/>
      <w:ind/>
    </w:pPr>
    <w:rPr>
      <w:i/>
    </w:rPr>
  </w:style>
  <w:style w:type="paragraph" w:styleId="739">
    <w:name w:val="Intense Quote"/>
    <w:basedOn w:val="888"/>
    <w:next w:val="888"/>
    <w:link w:val="74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40">
    <w:name w:val="Intense Quote Char"/>
    <w:link w:val="739"/>
    <w:uiPriority w:val="30"/>
    <w:pPr>
      <w:pBdr/>
      <w:spacing/>
      <w:ind/>
    </w:pPr>
    <w:rPr>
      <w:i/>
    </w:rPr>
  </w:style>
  <w:style w:type="paragraph" w:styleId="741">
    <w:name w:val="Header"/>
    <w:basedOn w:val="888"/>
    <w:link w:val="74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2">
    <w:name w:val="Header Char"/>
    <w:basedOn w:val="889"/>
    <w:link w:val="741"/>
    <w:uiPriority w:val="99"/>
    <w:pPr>
      <w:pBdr/>
      <w:spacing/>
      <w:ind/>
    </w:pPr>
  </w:style>
  <w:style w:type="paragraph" w:styleId="743">
    <w:name w:val="Footer"/>
    <w:basedOn w:val="888"/>
    <w:link w:val="74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4">
    <w:name w:val="Footer Char"/>
    <w:basedOn w:val="889"/>
    <w:link w:val="743"/>
    <w:uiPriority w:val="99"/>
    <w:pPr>
      <w:pBdr/>
      <w:spacing/>
      <w:ind/>
    </w:pPr>
  </w:style>
  <w:style w:type="character" w:styleId="745">
    <w:name w:val="Caption Char"/>
    <w:basedOn w:val="895"/>
    <w:link w:val="743"/>
    <w:uiPriority w:val="99"/>
    <w:pPr>
      <w:pBdr/>
      <w:spacing/>
      <w:ind/>
    </w:pPr>
  </w:style>
  <w:style w:type="table" w:styleId="746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d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ce7fd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dd2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3bafd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efb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7ccc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6b8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a7a35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c33fa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042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6e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footnote text"/>
    <w:basedOn w:val="888"/>
    <w:link w:val="87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2">
    <w:name w:val="Footnote Text Char"/>
    <w:link w:val="871"/>
    <w:uiPriority w:val="99"/>
    <w:pPr>
      <w:pBdr/>
      <w:spacing/>
      <w:ind/>
    </w:pPr>
    <w:rPr>
      <w:sz w:val="18"/>
    </w:rPr>
  </w:style>
  <w:style w:type="character" w:styleId="873">
    <w:name w:val="footnote reference"/>
    <w:basedOn w:val="889"/>
    <w:uiPriority w:val="99"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88"/>
    <w:link w:val="87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5">
    <w:name w:val="Endnote Text Char"/>
    <w:link w:val="874"/>
    <w:uiPriority w:val="99"/>
    <w:pPr>
      <w:pBdr/>
      <w:spacing/>
      <w:ind/>
    </w:pPr>
    <w:rPr>
      <w:sz w:val="20"/>
    </w:rPr>
  </w:style>
  <w:style w:type="character" w:styleId="876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toc 1"/>
    <w:basedOn w:val="888"/>
    <w:next w:val="888"/>
    <w:uiPriority w:val="39"/>
    <w:unhideWhenUsed/>
    <w:pPr>
      <w:pBdr/>
      <w:spacing w:after="57"/>
      <w:ind w:right="0" w:firstLine="0" w:left="0"/>
    </w:pPr>
  </w:style>
  <w:style w:type="paragraph" w:styleId="878">
    <w:name w:val="toc 2"/>
    <w:basedOn w:val="888"/>
    <w:next w:val="888"/>
    <w:uiPriority w:val="39"/>
    <w:unhideWhenUsed/>
    <w:pPr>
      <w:pBdr/>
      <w:spacing w:after="57"/>
      <w:ind w:right="0" w:firstLine="0" w:left="283"/>
    </w:pPr>
  </w:style>
  <w:style w:type="paragraph" w:styleId="879">
    <w:name w:val="toc 3"/>
    <w:basedOn w:val="888"/>
    <w:next w:val="888"/>
    <w:uiPriority w:val="39"/>
    <w:unhideWhenUsed/>
    <w:pPr>
      <w:pBdr/>
      <w:spacing w:after="57"/>
      <w:ind w:right="0" w:firstLine="0" w:left="567"/>
    </w:pPr>
  </w:style>
  <w:style w:type="paragraph" w:styleId="880">
    <w:name w:val="toc 4"/>
    <w:basedOn w:val="888"/>
    <w:next w:val="888"/>
    <w:uiPriority w:val="39"/>
    <w:unhideWhenUsed/>
    <w:pPr>
      <w:pBdr/>
      <w:spacing w:after="57"/>
      <w:ind w:right="0" w:firstLine="0" w:left="850"/>
    </w:pPr>
  </w:style>
  <w:style w:type="paragraph" w:styleId="881">
    <w:name w:val="toc 5"/>
    <w:basedOn w:val="888"/>
    <w:next w:val="888"/>
    <w:uiPriority w:val="39"/>
    <w:unhideWhenUsed/>
    <w:pPr>
      <w:pBdr/>
      <w:spacing w:after="57"/>
      <w:ind w:right="0" w:firstLine="0" w:left="1134"/>
    </w:pPr>
  </w:style>
  <w:style w:type="paragraph" w:styleId="882">
    <w:name w:val="toc 6"/>
    <w:basedOn w:val="888"/>
    <w:next w:val="888"/>
    <w:uiPriority w:val="39"/>
    <w:unhideWhenUsed/>
    <w:pPr>
      <w:pBdr/>
      <w:spacing w:after="57"/>
      <w:ind w:right="0" w:firstLine="0" w:left="1417"/>
    </w:pPr>
  </w:style>
  <w:style w:type="paragraph" w:styleId="883">
    <w:name w:val="toc 7"/>
    <w:basedOn w:val="888"/>
    <w:next w:val="888"/>
    <w:uiPriority w:val="39"/>
    <w:unhideWhenUsed/>
    <w:pPr>
      <w:pBdr/>
      <w:spacing w:after="57"/>
      <w:ind w:right="0" w:firstLine="0" w:left="1701"/>
    </w:pPr>
  </w:style>
  <w:style w:type="paragraph" w:styleId="884">
    <w:name w:val="toc 8"/>
    <w:basedOn w:val="888"/>
    <w:next w:val="888"/>
    <w:uiPriority w:val="39"/>
    <w:unhideWhenUsed/>
    <w:pPr>
      <w:pBdr/>
      <w:spacing w:after="57"/>
      <w:ind w:right="0" w:firstLine="0" w:left="1984"/>
    </w:pPr>
  </w:style>
  <w:style w:type="paragraph" w:styleId="885">
    <w:name w:val="toc 9"/>
    <w:basedOn w:val="888"/>
    <w:next w:val="888"/>
    <w:uiPriority w:val="39"/>
    <w:unhideWhenUsed/>
    <w:pPr>
      <w:pBdr/>
      <w:spacing w:after="57"/>
      <w:ind w:right="0" w:firstLine="0" w:left="2268"/>
    </w:p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widowControl w:val="true"/>
      <w:pBdr/>
      <w:spacing/>
      <w:ind/>
      <w:jc w:val="left"/>
    </w:pPr>
    <w:rPr>
      <w:rFonts w:ascii="Times New Roman" w:hAnsi="Times New Roman" w:eastAsia="Calibri" w:cs="Times New Roman"/>
      <w:color w:val="auto"/>
      <w:sz w:val="24"/>
      <w:szCs w:val="24"/>
      <w:lang w:val="ru-RU" w:eastAsia="ru-RU" w:bidi="ar-SA"/>
    </w:rPr>
  </w:style>
  <w:style w:type="character" w:styleId="889" w:default="1">
    <w:name w:val="Default Paragraph Font"/>
    <w:qFormat/>
    <w:pPr>
      <w:pBdr/>
      <w:spacing/>
      <w:ind/>
    </w:pPr>
  </w:style>
  <w:style w:type="character" w:styleId="890">
    <w:name w:val="Hyperlink"/>
    <w:basedOn w:val="889"/>
    <w:pPr>
      <w:pBdr/>
      <w:spacing/>
      <w:ind/>
    </w:pPr>
    <w:rPr>
      <w:color w:val="0000ff"/>
      <w:sz w:val="24"/>
      <w:szCs w:val="24"/>
      <w:u w:val="single"/>
    </w:rPr>
  </w:style>
  <w:style w:type="character" w:styleId="891">
    <w:name w:val="Текст выноски Знак"/>
    <w:basedOn w:val="889"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892">
    <w:name w:val="Heading"/>
    <w:basedOn w:val="888"/>
    <w:next w:val="893"/>
    <w:qFormat/>
    <w:pPr>
      <w:keepNext w:val="true"/>
      <w:pBdr/>
      <w:spacing w:after="120" w:before="240"/>
      <w:ind/>
    </w:pPr>
    <w:rPr>
      <w:rFonts w:ascii="Arial" w:hAnsi="Arial" w:eastAsia="DejaVu Sans" w:cs="DejaVu Sans"/>
      <w:sz w:val="28"/>
      <w:szCs w:val="28"/>
    </w:rPr>
  </w:style>
  <w:style w:type="paragraph" w:styleId="893">
    <w:name w:val="Body Text"/>
    <w:basedOn w:val="888"/>
    <w:pPr>
      <w:pBdr/>
      <w:spacing w:after="140" w:before="0" w:line="276" w:lineRule="auto"/>
      <w:ind/>
    </w:pPr>
  </w:style>
  <w:style w:type="paragraph" w:styleId="894">
    <w:name w:val="List"/>
    <w:basedOn w:val="893"/>
    <w:pPr>
      <w:pBdr/>
      <w:spacing/>
      <w:ind/>
    </w:pPr>
  </w:style>
  <w:style w:type="paragraph" w:styleId="895">
    <w:name w:val="Caption"/>
    <w:basedOn w:val="888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896">
    <w:name w:val="Index"/>
    <w:basedOn w:val="888"/>
    <w:qFormat/>
    <w:pPr>
      <w:suppressLineNumbers w:val="true"/>
      <w:pBdr/>
      <w:spacing/>
      <w:ind/>
    </w:pPr>
  </w:style>
  <w:style w:type="paragraph" w:styleId="897" w:default="1">
    <w:name w:val="Normal Table"/>
    <w:qFormat/>
    <w:pPr>
      <w:widowControl w:val="true"/>
      <w:pBdr/>
      <w:spacing/>
      <w:ind/>
      <w:jc w:val="left"/>
    </w:pPr>
    <w:rPr>
      <w:rFonts w:ascii="Calibri" w:hAnsi="Calibri" w:eastAsia="Calibri" w:cs="Calibri"/>
      <w:color w:val="auto"/>
      <w:sz w:val="20"/>
      <w:szCs w:val="20"/>
      <w:lang w:val="ru-RU" w:eastAsia="ru-RU" w:bidi="ar-SA"/>
    </w:rPr>
  </w:style>
  <w:style w:type="paragraph" w:styleId="898">
    <w:name w:val="List Paragraph"/>
    <w:basedOn w:val="888"/>
    <w:qFormat/>
    <w:pPr>
      <w:widowControl w:val="true"/>
      <w:pBdr/>
      <w:spacing w:after="0" w:before="0"/>
      <w:ind w:left="720"/>
      <w:contextualSpacing w:val="true"/>
      <w:jc w:val="left"/>
    </w:pPr>
    <w:rPr>
      <w:rFonts w:cs="Times New Roman"/>
      <w:sz w:val="24"/>
      <w:szCs w:val="24"/>
      <w:lang w:val="ru-RU" w:eastAsia="ru-RU" w:bidi="ar-SA"/>
    </w:rPr>
  </w:style>
  <w:style w:type="paragraph" w:styleId="899">
    <w:name w:val="Table Grid"/>
    <w:basedOn w:val="897"/>
    <w:qFormat/>
    <w:pPr>
      <w:widowControl w:val="true"/>
      <w:pBdr/>
      <w:spacing/>
      <w:ind/>
      <w:jc w:val="left"/>
    </w:pPr>
    <w:rPr>
      <w:rFonts w:ascii="Calibri" w:hAnsi="Calibri" w:cs="Times New Roman"/>
      <w:sz w:val="20"/>
      <w:szCs w:val="20"/>
      <w:lang w:val="ru-RU" w:eastAsia="ru-RU" w:bidi="ar-SA"/>
    </w:rPr>
  </w:style>
  <w:style w:type="paragraph" w:styleId="900">
    <w:name w:val="Balloon Text"/>
    <w:basedOn w:val="888"/>
    <w:qFormat/>
    <w:pPr>
      <w:widowControl w:val="true"/>
      <w:pBdr/>
      <w:spacing/>
      <w:ind/>
      <w:jc w:val="left"/>
    </w:pPr>
    <w:rPr>
      <w:rFonts w:ascii="Segoe UI" w:hAnsi="Segoe UI" w:cs="Segoe UI"/>
      <w:sz w:val="18"/>
      <w:szCs w:val="18"/>
      <w:lang w:val="ru-RU" w:eastAsia="ru-RU" w:bidi="ar-SA"/>
    </w:rPr>
  </w:style>
  <w:style w:type="numbering" w:styleId="901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Низамов</dc:creator>
  <dc:description/>
  <dc:language>en-US</dc:language>
  <cp:revision>37</cp:revision>
  <dcterms:created xsi:type="dcterms:W3CDTF">2022-11-30T10:44:00Z</dcterms:created>
  <dcterms:modified xsi:type="dcterms:W3CDTF">2026-01-07T17:15:33Z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Василий Федорец</vt:lpwstr>
  </property>
</Properties>
</file>