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1"/>
        <w:spacing w:before="0" w:after="12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ОТЧЕТ ФИНАНСОВОГО УПРАВЛЯЮЩЕГО О СВОЕЙ ДЕЯТЕЛЬНОСТИ</w:t>
        <w:br/>
        <w:t>И О РЕЗУЛЬТАТАХ РЕАЛИЗАЦИИ ИМУЩЕСТВА ГРАЖДАНИНА</w:t>
      </w:r>
    </w:p>
    <w:tbl>
      <w:tblPr>
        <w:tblW w:w="5050" w:type="pct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5"/>
        <w:gridCol w:w="4934"/>
        <w:gridCol w:w="4970"/>
        <w:gridCol w:w="81"/>
      </w:tblGrid>
      <w:tr>
        <w:trPr>
          <w:trHeight w:val="290" w:hRule="atLeast"/>
        </w:trPr>
        <w:tc>
          <w:tcPr>
            <w:tcW w:w="4969" w:type="dxa"/>
            <w:gridSpan w:val="2"/>
            <w:tcBorders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Дата: </w:t>
            </w:r>
            <w:r>
              <w:rPr>
                <w:color w:val="FF0000"/>
                <w:sz w:val="20"/>
                <w:szCs w:val="20"/>
              </w:rPr>
              <w:t>«01» июня 2026</w:t>
            </w:r>
            <w:r>
              <w:rPr>
                <w:sz w:val="20"/>
                <w:szCs w:val="20"/>
              </w:rPr>
              <w:t xml:space="preserve"> г.</w:t>
            </w:r>
          </w:p>
        </w:tc>
        <w:tc>
          <w:tcPr>
            <w:tcW w:w="4970" w:type="dxa"/>
            <w:tcBorders/>
            <w:vAlign w:val="center"/>
          </w:tcPr>
          <w:p>
            <w:pPr>
              <w:pStyle w:val="Normal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>
              <w:rPr>
                <w:sz w:val="20"/>
                <w:szCs w:val="20"/>
              </w:rPr>
              <w:t>Место составления: г. Санкт-Петербург</w:t>
            </w:r>
          </w:p>
        </w:tc>
        <w:tc>
          <w:tcPr>
            <w:tcW w:w="8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63" w:hRule="atLeast"/>
          <w:cantSplit/>
        </w:trPr>
        <w:tc>
          <w:tcPr>
            <w:tcW w:w="35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985" w:type="dxa"/>
            <w:gridSpan w:val="3"/>
            <w:tcBorders>
              <w:bottom w:val="single" w:sz="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napToGrid w:val="false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tabs>
                <w:tab w:val="clear" w:pos="708"/>
                <w:tab w:val="left" w:pos="14175" w:leader="none"/>
              </w:tabs>
              <w:spacing w:lineRule="auto" w:line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Федорец Василий Владимирович</w:t>
            </w:r>
          </w:p>
        </w:tc>
      </w:tr>
    </w:tbl>
    <w:p>
      <w:pPr>
        <w:pStyle w:val="Style11"/>
        <w:spacing w:before="0" w:after="120"/>
        <w:jc w:val="center"/>
        <w:rPr>
          <w:sz w:val="16"/>
          <w:szCs w:val="16"/>
        </w:rPr>
      </w:pPr>
      <w:r>
        <w:rPr/>
        <w:t>(фамилия, имя отчество (при наличии) арбитражного (финансового) управляющего)</w:t>
      </w:r>
    </w:p>
    <w:tbl>
      <w:tblPr>
        <w:tblW w:w="505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020"/>
      </w:tblGrid>
      <w:tr>
        <w:trPr>
          <w:trHeight w:val="363" w:hRule="atLeast"/>
          <w:cantSplit/>
        </w:trPr>
        <w:tc>
          <w:tcPr>
            <w:tcW w:w="100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pacing w:lineRule="auto" w:line="276"/>
              <w:jc w:val="center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Маргинал Иванович Панжинский</w:t>
            </w:r>
          </w:p>
        </w:tc>
      </w:tr>
    </w:tbl>
    <w:p>
      <w:pPr>
        <w:pStyle w:val="Style11"/>
        <w:spacing w:before="0" w:after="120"/>
        <w:jc w:val="center"/>
        <w:rPr>
          <w:sz w:val="16"/>
          <w:szCs w:val="16"/>
        </w:rPr>
      </w:pPr>
      <w:r>
        <w:rPr>
          <w:sz w:val="16"/>
          <w:szCs w:val="16"/>
        </w:rPr>
        <w:t>(фамилия, имя отчество (при наличии) должника</w:t>
      </w:r>
    </w:p>
    <w:tbl>
      <w:tblPr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69"/>
        <w:gridCol w:w="5069"/>
      </w:tblGrid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и место рождения должника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14.02.1980</w:t>
            </w:r>
          </w:p>
          <w:p>
            <w:pPr>
              <w:pStyle w:val="Style11"/>
              <w:spacing w:before="0" w:after="0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г. Оленегорск Мурманской обл.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Ранее присвоенные фамилия, имя и отчество должника (при наличии)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жительства должника согласно документам о регистрации по месту жительства в пределах Российской Федерации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г. Санкт-Петербург, ул. Савушкина, д. 18, кв. 18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Идентификационный номер налогоплательщика должника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782609400697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Страховой номер индивидуального лицевого счета должника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141-362-038 17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арбитражного суда, в производстве которого находится дело о банкротстве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Арбитражный суд города Санкт-Петербурга и Ленинградской области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дела о банкротстве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А56-12578/2025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принятия судебного акта о признании гражданина банкротом и введении реализации имущества гражданина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</w:t>
            </w:r>
            <w:r>
              <w:rPr>
                <w:color w:val="FF0000"/>
                <w:sz w:val="20"/>
                <w:szCs w:val="20"/>
              </w:rPr>
              <w:t>05</w:t>
            </w:r>
            <w:r>
              <w:rPr>
                <w:sz w:val="20"/>
                <w:szCs w:val="20"/>
              </w:rPr>
              <w:t xml:space="preserve">» </w:t>
            </w:r>
            <w:r>
              <w:rPr>
                <w:color w:val="FF0000"/>
                <w:sz w:val="20"/>
                <w:szCs w:val="20"/>
              </w:rPr>
              <w:t>мая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2025</w:t>
            </w:r>
            <w:r>
              <w:rPr>
                <w:sz w:val="20"/>
                <w:szCs w:val="20"/>
              </w:rPr>
              <w:t xml:space="preserve"> г.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утверждения финансового управляющего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</w:t>
            </w:r>
            <w:r>
              <w:rPr>
                <w:color w:val="FF0000"/>
                <w:sz w:val="20"/>
                <w:szCs w:val="20"/>
              </w:rPr>
              <w:t>05</w:t>
            </w:r>
            <w:r>
              <w:rPr>
                <w:sz w:val="20"/>
                <w:szCs w:val="20"/>
              </w:rPr>
              <w:t xml:space="preserve">» </w:t>
            </w:r>
            <w:r>
              <w:rPr>
                <w:color w:val="FF0000"/>
                <w:sz w:val="20"/>
                <w:szCs w:val="20"/>
              </w:rPr>
              <w:t>мая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2025</w:t>
            </w:r>
            <w:r>
              <w:rPr>
                <w:sz w:val="20"/>
                <w:szCs w:val="20"/>
              </w:rPr>
              <w:t xml:space="preserve"> г.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Даты принятия судебных актов о продлении реализации имущества гражданина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Процедура реализации имущества не продлевалась</w:t>
            </w:r>
          </w:p>
        </w:tc>
      </w:tr>
    </w:tbl>
    <w:p>
      <w:pPr>
        <w:pStyle w:val="Style11"/>
        <w:numPr>
          <w:ilvl w:val="0"/>
          <w:numId w:val="3"/>
        </w:num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Сведения о финансовом управляющем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4960"/>
        <w:gridCol w:w="4961"/>
      </w:tblGrid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саморегулируемой организации арбитражных управляющих, членом которой является арбитражный управляющий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 w:eastAsia="ru-RU"/>
              </w:rPr>
              <w:t>Ассоциация арбитражных управляющих «Содружество»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и дата регистрации в едином государственном реестре саморегулируемых организаций арбитражных управляющих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0043 от «21» августа 2014 г.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страховой организации, с которой заключен договор о страховании ответственности арбитражного управляющего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АО «Д2 Страхование»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договора страхования, дата его заключения и срок действия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Договор № </w:t>
            </w:r>
            <w:r>
              <w:rPr>
                <w:color w:val="FF0000"/>
                <w:sz w:val="20"/>
                <w:szCs w:val="20"/>
                <w:lang w:val="en-US"/>
              </w:rPr>
              <w:t>Arbitr</w:t>
            </w:r>
            <w:r>
              <w:rPr>
                <w:color w:val="FF0000"/>
                <w:sz w:val="20"/>
                <w:szCs w:val="20"/>
              </w:rPr>
              <w:t>-3980975400-26366 от 08.09.2022 г., срок действия с 09.09.2022 г. по 08.09.2026 г.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 для направления корреспонденции финансовому управляющему, включая адрес электронной почты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почтовый адрес: 195112, г Санкт-Петербург, а/я 16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электронная почта: </w:t>
            </w:r>
            <w:r>
              <w:rPr>
                <w:sz w:val="20"/>
                <w:szCs w:val="20"/>
                <w:lang w:val="en-US"/>
              </w:rPr>
              <w:t>aufvv</w:t>
            </w:r>
            <w:r>
              <w:rPr>
                <w:sz w:val="20"/>
                <w:szCs w:val="20"/>
              </w:rPr>
              <w:t>@</w:t>
            </w:r>
            <w:r>
              <w:rPr>
                <w:sz w:val="20"/>
                <w:szCs w:val="20"/>
                <w:lang w:val="en-US"/>
              </w:rPr>
              <w:t>mail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ru</w:t>
            </w:r>
          </w:p>
        </w:tc>
      </w:tr>
    </w:tbl>
    <w:p>
      <w:pPr>
        <w:pStyle w:val="Style11"/>
        <w:numPr>
          <w:ilvl w:val="0"/>
          <w:numId w:val="3"/>
        </w:numPr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Сведения о лицах, привлеченных финансовым управляющим для обеспечения своей деятельности</w:t>
      </w:r>
      <w:r>
        <w:rPr>
          <w:b/>
          <w:sz w:val="20"/>
          <w:szCs w:val="20"/>
        </w:rPr>
        <w:t xml:space="preserve"> 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1454"/>
        <w:gridCol w:w="1681"/>
        <w:gridCol w:w="1123"/>
        <w:gridCol w:w="1264"/>
        <w:gridCol w:w="1823"/>
        <w:gridCol w:w="2576"/>
      </w:tblGrid>
      <w:tr>
        <w:trPr/>
        <w:tc>
          <w:tcPr>
            <w:tcW w:w="14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Специализация привлеченного лица по виду услуг (или виду выполненных работ)</w:t>
            </w:r>
          </w:p>
        </w:tc>
        <w:tc>
          <w:tcPr>
            <w:tcW w:w="168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юридического лица (ИНН) или фамилия, имя, отчество (при наличии) физического лица</w:t>
            </w:r>
          </w:p>
        </w:tc>
        <w:tc>
          <w:tcPr>
            <w:tcW w:w="11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Номер, дата заключения и срок действия договора</w:t>
            </w:r>
          </w:p>
        </w:tc>
        <w:tc>
          <w:tcPr>
            <w:tcW w:w="12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Размер вознаграждения (согласно договору)</w:t>
            </w:r>
          </w:p>
        </w:tc>
        <w:tc>
          <w:tcPr>
            <w:tcW w:w="18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судебного акта, на основании которого привлечено лицо         (в случае принятия такого судебного акта)</w:t>
            </w:r>
          </w:p>
        </w:tc>
        <w:tc>
          <w:tcPr>
            <w:tcW w:w="257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наличии аккредитации лица при саморегулируемой организации арбитражных управляющих, членом которой является финансовый управляющий</w:t>
            </w:r>
          </w:p>
        </w:tc>
      </w:tr>
      <w:tr>
        <w:trPr/>
        <w:tc>
          <w:tcPr>
            <w:tcW w:w="14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8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7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>
        <w:trPr>
          <w:trHeight w:val="60" w:hRule="atLeast"/>
        </w:trPr>
        <w:tc>
          <w:tcPr>
            <w:tcW w:w="14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1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8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57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4258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ИТОГО:</w:t>
            </w:r>
          </w:p>
        </w:tc>
        <w:tc>
          <w:tcPr>
            <w:tcW w:w="12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8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57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</w:tbl>
    <w:p>
      <w:pPr>
        <w:pStyle w:val="Style11"/>
        <w:spacing w:before="12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1"/>
        <w:spacing w:before="12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1"/>
        <w:numPr>
          <w:ilvl w:val="0"/>
          <w:numId w:val="2"/>
        </w:numPr>
        <w:spacing w:before="120" w:after="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Информация о жалобах на действия (бездействие) финансового управляющего</w:t>
      </w:r>
    </w:p>
    <w:p>
      <w:pPr>
        <w:pStyle w:val="Style11"/>
        <w:spacing w:before="0" w:after="120"/>
        <w:ind w:start="720" w:end="0"/>
        <w:rPr>
          <w:sz w:val="20"/>
          <w:szCs w:val="20"/>
        </w:rPr>
      </w:pPr>
      <w:r>
        <w:rPr/>
        <w:t>(совершенные им при проведении процедуры, применяемой в деле о банкротстве данного должника)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1228"/>
        <w:gridCol w:w="1175"/>
        <w:gridCol w:w="809"/>
        <w:gridCol w:w="2030"/>
        <w:gridCol w:w="1967"/>
        <w:gridCol w:w="983"/>
        <w:gridCol w:w="1729"/>
      </w:tblGrid>
      <w:tr>
        <w:trPr/>
        <w:tc>
          <w:tcPr>
            <w:tcW w:w="122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заявителе жалобы</w:t>
            </w:r>
          </w:p>
        </w:tc>
        <w:tc>
          <w:tcPr>
            <w:tcW w:w="11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поступления жалобы</w:t>
            </w:r>
          </w:p>
        </w:tc>
        <w:tc>
          <w:tcPr>
            <w:tcW w:w="80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Суть жалобы</w:t>
            </w:r>
          </w:p>
        </w:tc>
        <w:tc>
          <w:tcPr>
            <w:tcW w:w="203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 (организация), рассмотревший жалобу и (или) принявший решение</w:t>
            </w:r>
          </w:p>
        </w:tc>
        <w:tc>
          <w:tcPr>
            <w:tcW w:w="196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документа по итогам рассмотрения жалобы (протокол, судебный акт)</w:t>
            </w:r>
          </w:p>
        </w:tc>
        <w:tc>
          <w:tcPr>
            <w:tcW w:w="9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Принятое решение</w:t>
            </w:r>
          </w:p>
        </w:tc>
        <w:tc>
          <w:tcPr>
            <w:tcW w:w="172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пересмотре (обжаловании) принятого решения</w:t>
            </w:r>
          </w:p>
        </w:tc>
      </w:tr>
      <w:tr>
        <w:trPr/>
        <w:tc>
          <w:tcPr>
            <w:tcW w:w="122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0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3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6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2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>
        <w:trPr/>
        <w:tc>
          <w:tcPr>
            <w:tcW w:w="122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1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0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03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96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72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</w:tbl>
    <w:p>
      <w:pPr>
        <w:pStyle w:val="Style11"/>
        <w:ind w:start="1080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 Сведения о реализации финансовым управляющим своих прав и выполнении обязанностей</w:t>
      </w:r>
    </w:p>
    <w:p>
      <w:pPr>
        <w:pStyle w:val="Style11"/>
        <w:ind w:start="1440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4.1. </w:t>
      </w:r>
      <w:r>
        <w:rPr/>
        <w:t>Сведения о счетах должника в банках и иных кредитных организациях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471"/>
        <w:gridCol w:w="2246"/>
        <w:gridCol w:w="2104"/>
        <w:gridCol w:w="1377"/>
        <w:gridCol w:w="1242"/>
        <w:gridCol w:w="1240"/>
        <w:gridCol w:w="1241"/>
      </w:tblGrid>
      <w:tr>
        <w:trPr/>
        <w:tc>
          <w:tcPr>
            <w:tcW w:w="47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п/п</w:t>
            </w:r>
          </w:p>
        </w:tc>
        <w:tc>
          <w:tcPr>
            <w:tcW w:w="224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и адрес банка или иной кредитной организации</w:t>
            </w:r>
          </w:p>
        </w:tc>
        <w:tc>
          <w:tcPr>
            <w:tcW w:w="210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 номер счета</w:t>
            </w:r>
          </w:p>
        </w:tc>
        <w:tc>
          <w:tcPr>
            <w:tcW w:w="13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Отчетный период, за который поступили денежные средства</w:t>
            </w:r>
          </w:p>
        </w:tc>
        <w:tc>
          <w:tcPr>
            <w:tcW w:w="124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Общая сумма денежных средств, поступивших на счет за отчетный период (руб.)</w:t>
            </w:r>
          </w:p>
        </w:tc>
        <w:tc>
          <w:tcPr>
            <w:tcW w:w="12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Остаток денежных средств на конец отчетного периода (руб.)</w:t>
            </w:r>
          </w:p>
        </w:tc>
        <w:tc>
          <w:tcPr>
            <w:tcW w:w="124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Информация о блокировке (закрытии)</w:t>
            </w:r>
          </w:p>
        </w:tc>
      </w:tr>
      <w:tr>
        <w:trPr/>
        <w:tc>
          <w:tcPr>
            <w:tcW w:w="47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4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0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4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4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>
        <w:trPr/>
        <w:tc>
          <w:tcPr>
            <w:tcW w:w="47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24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10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4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4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</w:tbl>
    <w:p>
      <w:pPr>
        <w:pStyle w:val="Style11"/>
        <w:jc w:val="both"/>
        <w:rPr>
          <w:sz w:val="20"/>
          <w:szCs w:val="20"/>
        </w:rPr>
      </w:pPr>
      <w:r>
        <w:rPr>
          <w:sz w:val="20"/>
          <w:szCs w:val="20"/>
        </w:rPr>
        <w:t>Информация об использовании денежных средств должника представлена в разделах 4.7.2 и 4.8 настоящего отчета</w:t>
      </w:r>
    </w:p>
    <w:p>
      <w:pPr>
        <w:pStyle w:val="Style11"/>
        <w:spacing w:before="100" w:after="10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4.2. Сведения о решениях принятых на собраниях кредиторов, касающихся оценки и реализации имущества должника или утверждения мирового соглашения, в случае проведения финансовым управляющим собрания кредиторов в процедуре реализации имущества гражданина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1453"/>
        <w:gridCol w:w="4350"/>
        <w:gridCol w:w="4118"/>
      </w:tblGrid>
      <w:tr>
        <w:trPr/>
        <w:tc>
          <w:tcPr>
            <w:tcW w:w="145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собрания кредиторов</w:t>
            </w:r>
          </w:p>
        </w:tc>
        <w:tc>
          <w:tcPr>
            <w:tcW w:w="435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Вопросы повестки дня</w:t>
            </w:r>
          </w:p>
        </w:tc>
        <w:tc>
          <w:tcPr>
            <w:tcW w:w="41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Принятые решения</w:t>
            </w:r>
          </w:p>
        </w:tc>
      </w:tr>
      <w:tr>
        <w:trPr/>
        <w:tc>
          <w:tcPr>
            <w:tcW w:w="145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5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>
        <w:trPr/>
        <w:tc>
          <w:tcPr>
            <w:tcW w:w="145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435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41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</w:tbl>
    <w:p>
      <w:pPr>
        <w:pStyle w:val="Style11"/>
        <w:spacing w:before="100" w:after="100"/>
        <w:ind w:start="1440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4.3. </w:t>
      </w:r>
      <w:r>
        <w:rPr/>
        <w:t>Сведения о составе и стоимости имущества должника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805"/>
        <w:gridCol w:w="1510"/>
        <w:gridCol w:w="1363"/>
        <w:gridCol w:w="1544"/>
        <w:gridCol w:w="1699"/>
      </w:tblGrid>
      <w:tr>
        <w:trPr/>
        <w:tc>
          <w:tcPr>
            <w:tcW w:w="3805" w:type="dxa"/>
            <w:vMerge w:val="restart"/>
            <w:tcBorders>
              <w:top w:val="thickThinLargeGap" w:sz="6" w:space="0" w:color="C0C0C0"/>
              <w:start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Имущество должника</w:t>
            </w:r>
          </w:p>
        </w:tc>
        <w:tc>
          <w:tcPr>
            <w:tcW w:w="4417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Включается в конкурсную массу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Исключается из конкурсной массы</w:t>
            </w:r>
          </w:p>
        </w:tc>
      </w:tr>
      <w:tr>
        <w:trPr/>
        <w:tc>
          <w:tcPr>
            <w:tcW w:w="3805" w:type="dxa"/>
            <w:vMerge w:val="continue"/>
            <w:tcBorders>
              <w:top w:val="thickThinLargeGap" w:sz="6" w:space="0" w:color="C0C0C0"/>
              <w:start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Стоимость, определенная финансовым управляющим (руб.)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Стоимость, определенная оценщиком (руб.)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Залогодержатель (при наличии)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Стоимость, определенная финансовым управляющим или оценщиком (руб.), и основания исключения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Недвижимое имущество всего, в том числе: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both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квартира в многоквартирном доме (кадастровый номер 78:15:0000:15:350) на праве общей долевой собственности (доля в праве ½), площадью 78,8 кв.м., расположенная по адресу: г. Санкт-Петербург, ул. Савушкина, д. 18, кв. 18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Движимое имущество всего, в том числе: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Денежные средства всего, в том числе: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Дебиторская задолженность всего, в том числе: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Акции и иное участие в коммерческих организациях, в том числе: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Ценные бумаги и прочие финансовые инструменты всего, в том числе: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Иное имущество всего, в том числе: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38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Всего имущества</w:t>
            </w:r>
          </w:p>
        </w:tc>
        <w:tc>
          <w:tcPr>
            <w:tcW w:w="151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9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</w:tr>
    </w:tbl>
    <w:p>
      <w:pPr>
        <w:pStyle w:val="Style11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 xml:space="preserve">* указана кадастровая стоимость объекта недвижимости (доли в праве), </w:t>
      </w:r>
      <w:r>
        <w:rPr/>
        <w:t>исключено из конкурсной массы на основании п. 3 Постановления Пленума Верховного суда Российской Федерации от 28 декабря 2018 г. №48 «О некоторых вопросах, связанных с особенностями формирования и распределения конкурсной массы в делах о банкротстве граждан»</w:t>
      </w:r>
    </w:p>
    <w:tbl>
      <w:tblPr>
        <w:tblW w:w="1020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536"/>
        <w:gridCol w:w="1134"/>
        <w:gridCol w:w="4530"/>
        <w:gridCol w:w="6"/>
      </w:tblGrid>
      <w:tr>
        <w:trPr>
          <w:trHeight w:val="284" w:hRule="atLeast"/>
          <w:cantSplit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Опись имущества должника проведена</w:t>
            </w:r>
          </w:p>
        </w:tc>
        <w:tc>
          <w:tcPr>
            <w:tcW w:w="56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pacing w:lineRule="auto" w:line="276"/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«02» июля 2025 г.</w:t>
            </w:r>
            <w:r>
              <w:rPr>
                <w:sz w:val="20"/>
                <w:szCs w:val="20"/>
              </w:rPr>
              <w:t xml:space="preserve"> б/н</w:t>
            </w:r>
          </w:p>
        </w:tc>
      </w:tr>
      <w:tr>
        <w:trPr>
          <w:cantSplit/>
        </w:trPr>
        <w:tc>
          <w:tcPr>
            <w:tcW w:w="4536" w:type="dxa"/>
            <w:tcBorders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napToGrid w:val="false"/>
              <w:spacing w:lineRule="auto" w:line="27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664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pacing w:lineRule="auto" w:line="276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(дата и номер описи)</w:t>
            </w:r>
          </w:p>
        </w:tc>
      </w:tr>
      <w:tr>
        <w:trPr>
          <w:cantSplit/>
        </w:trPr>
        <w:tc>
          <w:tcPr>
            <w:tcW w:w="5670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napToGrid w:val="false"/>
              <w:spacing w:lineRule="auto" w:line="27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36" w:type="dxa"/>
            <w:tcBorders/>
          </w:tcPr>
          <w:p>
            <w:pPr>
              <w:pStyle w:val="Normal"/>
              <w:snapToGrid w:val="false"/>
              <w:rPr/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4" w:hRule="atLeast"/>
          <w:cantSplit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Оценка имущества должника проведена</w:t>
            </w:r>
          </w:p>
        </w:tc>
        <w:tc>
          <w:tcPr>
            <w:tcW w:w="5670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pacing w:lineRule="auto" w:line="2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Оценка имущества в ходе процедуры не проводилась</w:t>
            </w:r>
          </w:p>
        </w:tc>
      </w:tr>
      <w:tr>
        <w:trPr>
          <w:cantSplit/>
        </w:trPr>
        <w:tc>
          <w:tcPr>
            <w:tcW w:w="4536" w:type="dxa"/>
            <w:tcBorders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napToGrid w:val="false"/>
              <w:spacing w:lineRule="auto" w:line="27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670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4175" w:leader="none"/>
              </w:tabs>
              <w:spacing w:lineRule="auto" w:line="276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(дата и номер отчета об оценке в случае принятии соответствующего решения собранием кредиторов, кредитором или арбитражным судом)</w:t>
            </w:r>
          </w:p>
        </w:tc>
      </w:tr>
    </w:tbl>
    <w:p>
      <w:pPr>
        <w:pStyle w:val="Style11"/>
        <w:ind w:start="1800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4.4. Сведения о ходе реализации имущества должника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267"/>
        <w:gridCol w:w="1553"/>
        <w:gridCol w:w="1122"/>
        <w:gridCol w:w="1123"/>
        <w:gridCol w:w="1264"/>
        <w:gridCol w:w="1592"/>
      </w:tblGrid>
      <w:tr>
        <w:trPr/>
        <w:tc>
          <w:tcPr>
            <w:tcW w:w="3267" w:type="dxa"/>
            <w:vMerge w:val="restart"/>
            <w:tcBorders>
              <w:top w:val="thickThinLargeGap" w:sz="6" w:space="0" w:color="C0C0C0"/>
              <w:start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Имущество, включенное в конкурсную массу</w:t>
            </w:r>
          </w:p>
        </w:tc>
        <w:tc>
          <w:tcPr>
            <w:tcW w:w="5062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реализации имущества</w:t>
            </w:r>
          </w:p>
        </w:tc>
        <w:tc>
          <w:tcPr>
            <w:tcW w:w="1592" w:type="dxa"/>
            <w:vMerge w:val="restart"/>
            <w:tcBorders>
              <w:top w:val="thickThinLargeGap" w:sz="6" w:space="0" w:color="C0C0C0"/>
              <w:start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Оплачено (руб.) (сведения о расторжении договора в случае неоплаты)</w:t>
            </w:r>
          </w:p>
        </w:tc>
      </w:tr>
      <w:tr>
        <w:trPr/>
        <w:tc>
          <w:tcPr>
            <w:tcW w:w="3267" w:type="dxa"/>
            <w:vMerge w:val="continue"/>
            <w:tcBorders>
              <w:top w:val="thickThinLargeGap" w:sz="6" w:space="0" w:color="C0C0C0"/>
              <w:start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5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Способ реализации (форма торгов, прямой договор)</w:t>
            </w:r>
          </w:p>
        </w:tc>
        <w:tc>
          <w:tcPr>
            <w:tcW w:w="112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заключения договора</w:t>
            </w:r>
          </w:p>
        </w:tc>
        <w:tc>
          <w:tcPr>
            <w:tcW w:w="11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договора</w:t>
            </w:r>
          </w:p>
        </w:tc>
        <w:tc>
          <w:tcPr>
            <w:tcW w:w="12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имущества по договору (руб.)</w:t>
            </w:r>
          </w:p>
        </w:tc>
        <w:tc>
          <w:tcPr>
            <w:tcW w:w="1592" w:type="dxa"/>
            <w:vMerge w:val="continue"/>
            <w:tcBorders>
              <w:top w:val="thickThinLargeGap" w:sz="6" w:space="0" w:color="C0C0C0"/>
              <w:start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326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5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2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>
        <w:trPr/>
        <w:tc>
          <w:tcPr>
            <w:tcW w:w="326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5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12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12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9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7065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ИТОГО</w:t>
            </w:r>
          </w:p>
        </w:tc>
        <w:tc>
          <w:tcPr>
            <w:tcW w:w="12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9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</w:tbl>
    <w:p>
      <w:pPr>
        <w:pStyle w:val="Style11"/>
        <w:ind w:start="1440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4.5. Меры по обеспечению сохранности имущества должника</w:t>
      </w:r>
    </w:p>
    <w:tbl>
      <w:tblPr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69"/>
        <w:gridCol w:w="5069"/>
      </w:tblGrid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Предпринятые меры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Результат рассмотрения, дата </w:t>
            </w:r>
          </w:p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(включая информацию об обжаловании)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numPr>
                <w:ilvl w:val="0"/>
                <w:numId w:val="5"/>
              </w:num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Совершение должником сделок с выраженного в письменной форме предварительного согласия финансового управляющего или по решению арбитражного суда (пункт 5 статьи 213.11 Федерального закона от 26 октября 2002 г. №127-ФЗ «О несостоятельности (банкротстве)»)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numPr>
                <w:ilvl w:val="0"/>
                <w:numId w:val="5"/>
              </w:num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Созыв собраний кредиторов для решения вопроса о предварительном согласовании сделок и решений гражданина (абзац седьмой пункта 7 статьи 213.9 Федерального закона от 26 октября 2002 г. №127-ФЗ «О несостоятельности (банкротстве)»)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numPr>
                <w:ilvl w:val="0"/>
                <w:numId w:val="5"/>
              </w:num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Заявления, направленные в арбитражный суд, о признании недействительными сделок по основаниям, предусмотренным статьями 61.2 и 61.3 Федерального закона от 26 октября 2002 г. №127-ФЗ «О несостоятельности (банкротстве)»), а также сделок, совершенных с нарушением Федерального закона от 26 октября 2002 г. №127-ФЗ «О несостоятельности (банкротстве)»)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numPr>
                <w:ilvl w:val="0"/>
                <w:numId w:val="5"/>
              </w:num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Ходатайства, направленные в арбитражный суд, о принятии мер по сохранности имущества гражданина, а также об отмене таких мер (абзац восьмой пункта 7 статьи 213.9 Федерального закона от 26 октября 2002 г. №127-ФЗ «О несостоятельности (банкротстве)»)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numPr>
                <w:ilvl w:val="0"/>
                <w:numId w:val="5"/>
              </w:num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Ходатайства, направленные в арбитражный суд, о принятии мер по обеспечению требований кредиторов и интересов гражданина (пункт 3 статьи 213.11 Федерального закона от 26 октября 2002 г. №127-ФЗ «О несостоятельности (банкротстве)»)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numPr>
                <w:ilvl w:val="0"/>
                <w:numId w:val="5"/>
              </w:num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Ходатайства, направленные в арбитражный суд, об истребовании доказательств при неисполнении должником обязанности, установленной пунктом 9 статьи 213.9 Федерального закона от 26 октября 2002 г. №127-ФЗ «О несостоятельности (банкротстве)»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Заявления, направленные в арбитражный суд, об истребовании имущества должника из чужого незаконного владения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 Отказы от исполнения сделок должника в порядке, установленном Федеральным законом от 26 октября 2002 г. №127-ФЗ «О несостоятельности (банкротстве)»)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0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 Иные меры, предпринятые финансовым управляющим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Запросы в регистрирующие органы: 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1) направлен запрос в Управление ГИБДД ГУ МВД России по г. Санкт-Петербургу и Ленинградской области о зарегистрированных (и снятых с регистрационного учета в трехлетний период, предшествующий дате возбуждения производства по делу о банкротстве) за должником </w:t>
            </w:r>
            <w:r>
              <w:rPr>
                <w:color w:val="FF0000"/>
                <w:sz w:val="20"/>
                <w:szCs w:val="20"/>
              </w:rPr>
              <w:t xml:space="preserve">и его бывшим супругом </w:t>
            </w:r>
            <w:r>
              <w:rPr>
                <w:sz w:val="20"/>
                <w:szCs w:val="20"/>
              </w:rPr>
              <w:t>автотранспортных средствах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Автотранспортные средства не зарегистрированы. Сведения об отчуждении автотранспортных средств в запрашиваемый период отсутствуют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2) направлен запрос в Центр ГИМС МЧС России по </w:t>
            </w:r>
            <w:r>
              <w:rPr>
                <w:color w:val="FF0000"/>
                <w:sz w:val="20"/>
                <w:szCs w:val="20"/>
              </w:rPr>
              <w:t>г. Санкт-Петербургу</w:t>
            </w:r>
            <w:r>
              <w:rPr>
                <w:sz w:val="20"/>
                <w:szCs w:val="20"/>
              </w:rPr>
              <w:t xml:space="preserve"> о зарегистрированной (и снятой с регистрационного учета в трехлетний период, предшествующий дате возбуждения производства по делу о банкротстве) за должником </w:t>
            </w:r>
            <w:r>
              <w:rPr>
                <w:color w:val="FF0000"/>
                <w:sz w:val="20"/>
                <w:szCs w:val="20"/>
              </w:rPr>
              <w:t>и его бывшим супругом</w:t>
            </w:r>
            <w:r>
              <w:rPr>
                <w:sz w:val="20"/>
                <w:szCs w:val="20"/>
              </w:rPr>
              <w:t xml:space="preserve"> судоходной технике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Маломерные суда и ПЛМ к ним не зарегистрированы, сведения об их отчуждении в запрашиваемый период отсутствуют 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3) направлен запрос в управление Гостехнадзора </w:t>
            </w:r>
            <w:r>
              <w:rPr>
                <w:color w:val="FF0000"/>
                <w:sz w:val="20"/>
                <w:szCs w:val="20"/>
              </w:rPr>
              <w:t>г. Санкт-Петербурга</w:t>
            </w:r>
            <w:r>
              <w:rPr>
                <w:sz w:val="20"/>
                <w:szCs w:val="20"/>
              </w:rPr>
              <w:t xml:space="preserve"> о зарегистрированной (и снятой с регистрационного учета в трехлетний период, предшествующий дате возбуждения производства по делу о банкротстве) за должником </w:t>
            </w:r>
            <w:r>
              <w:rPr>
                <w:color w:val="FF0000"/>
                <w:sz w:val="20"/>
                <w:szCs w:val="20"/>
              </w:rPr>
              <w:t>и его бывшим супругом</w:t>
            </w:r>
            <w:r>
              <w:rPr>
                <w:sz w:val="20"/>
                <w:szCs w:val="20"/>
              </w:rPr>
              <w:t xml:space="preserve"> самоходной технике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Трактора, самоходные дорожно-строительные машины и другие виды техники и прицепы к ним не зарегистрированы, сведения об их отчуждении в запрашиваемый период отсутствуют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4) направлен запрос посредством заполнения электронной формы на портале государственных услуг о зарегистрированном (и снятом с регистрационного учета в трехлетний период, предшествующий дате возбуждения производства по делу о банкротстве) за должником </w:t>
            </w:r>
            <w:r>
              <w:rPr>
                <w:color w:val="FF0000"/>
                <w:sz w:val="20"/>
                <w:szCs w:val="20"/>
              </w:rPr>
              <w:t>и его бывшим супругом</w:t>
            </w:r>
            <w:r>
              <w:rPr>
                <w:sz w:val="20"/>
                <w:szCs w:val="20"/>
              </w:rPr>
              <w:t xml:space="preserve"> недвижимом имуществе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Недвижимость не зарегистрирована, сведения об отчуждении недвижимости с 01.01.2022 г. отсутствуют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5) направлен запрос </w:t>
            </w:r>
            <w:r>
              <w:rPr>
                <w:color w:val="FF0000"/>
                <w:sz w:val="20"/>
                <w:szCs w:val="20"/>
              </w:rPr>
              <w:t xml:space="preserve">в МИФНС №26 по Санкт-Петербургу </w:t>
            </w:r>
            <w:r>
              <w:rPr>
                <w:sz w:val="20"/>
                <w:szCs w:val="20"/>
              </w:rPr>
              <w:t>о предоставлении сведений о счетах и доходах должника, информации об участии должника в уставных капиталах юр. лиц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Учредителем и руководителем юр. лиц не является, сведения о доходах и счетах предоставлены.</w:t>
            </w:r>
          </w:p>
        </w:tc>
      </w:tr>
      <w:tr>
        <w:trPr/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6) направлен запрос в </w:t>
            </w:r>
            <w:r>
              <w:rPr>
                <w:color w:val="FF0000"/>
                <w:sz w:val="20"/>
                <w:szCs w:val="20"/>
              </w:rPr>
              <w:t xml:space="preserve">отдел ЗАГС Комитета по делам ЗАГС Правительства Санкт-Петербурга </w:t>
            </w:r>
            <w:r>
              <w:rPr>
                <w:sz w:val="20"/>
                <w:szCs w:val="20"/>
              </w:rPr>
              <w:t>о наличии (отсутствии) зарегистрированного (расторгнутого) брака в трехлетний период, предшествующий дате обращения должника с заявлением о банкротстве в арбитражный суд</w:t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Получена справка об отсутствии факта государственной регистрации акта гражданского состояния за период с </w:t>
            </w:r>
            <w:r>
              <w:rPr>
                <w:color w:val="FF0000"/>
                <w:sz w:val="20"/>
                <w:szCs w:val="20"/>
              </w:rPr>
              <w:t>«11» февраля 2009 г. по «10» июля 2025 г.</w:t>
            </w:r>
          </w:p>
        </w:tc>
      </w:tr>
    </w:tbl>
    <w:p>
      <w:pPr>
        <w:pStyle w:val="Style11"/>
        <w:ind w:start="1440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4.6. Сведения о количестве и об общем размере требований о взыскании задолженности, предъявленных финансовым управляющим к третьим лицам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628"/>
        <w:gridCol w:w="1669"/>
        <w:gridCol w:w="1962"/>
        <w:gridCol w:w="2524"/>
        <w:gridCol w:w="3138"/>
      </w:tblGrid>
      <w:tr>
        <w:trPr/>
        <w:tc>
          <w:tcPr>
            <w:tcW w:w="62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п/п</w:t>
            </w:r>
          </w:p>
        </w:tc>
        <w:tc>
          <w:tcPr>
            <w:tcW w:w="166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дебитора</w:t>
            </w:r>
          </w:p>
        </w:tc>
        <w:tc>
          <w:tcPr>
            <w:tcW w:w="1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 задолженности (руб.)</w:t>
            </w:r>
          </w:p>
        </w:tc>
        <w:tc>
          <w:tcPr>
            <w:tcW w:w="252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Меры, принятые по взысканию</w:t>
            </w:r>
          </w:p>
        </w:tc>
        <w:tc>
          <w:tcPr>
            <w:tcW w:w="313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Средства, полученные от взыскания задолженности (руб.)</w:t>
            </w:r>
          </w:p>
        </w:tc>
      </w:tr>
      <w:tr>
        <w:trPr/>
        <w:tc>
          <w:tcPr>
            <w:tcW w:w="62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6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2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3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62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6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52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313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</w:tbl>
    <w:p>
      <w:pPr>
        <w:pStyle w:val="Style11"/>
        <w:ind w:start="1440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4.7. Сведения о ведении реестра требований кредиторов</w:t>
      </w:r>
    </w:p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  <w:t>Обязанность по ведению реестра возложена на финансового управляющего Федорца Василия Владимировича.</w:t>
      </w:r>
    </w:p>
    <w:p>
      <w:pPr>
        <w:pStyle w:val="Style11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</w:t>
      </w:r>
      <w:r>
        <w:rPr>
          <w:b/>
          <w:sz w:val="20"/>
          <w:szCs w:val="20"/>
        </w:rPr>
        <w:t>4.7.1. Формирование реестра требований кредиторов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4960"/>
        <w:gridCol w:w="4961"/>
      </w:tblGrid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Публикация сведений о признании должника банкротом и введении реализации имущества гражданина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АО «Коммерсантъ. Издательский Дом» № </w:t>
            </w:r>
            <w:r>
              <w:rPr>
                <w:color w:val="FF0000"/>
                <w:sz w:val="20"/>
                <w:szCs w:val="20"/>
              </w:rPr>
              <w:t>139 (7101)</w:t>
            </w:r>
            <w:r>
              <w:rPr>
                <w:sz w:val="20"/>
                <w:szCs w:val="20"/>
              </w:rPr>
              <w:t xml:space="preserve"> объявление № </w:t>
            </w:r>
            <w:r>
              <w:rPr>
                <w:color w:val="FF0000"/>
                <w:sz w:val="20"/>
                <w:szCs w:val="20"/>
              </w:rPr>
              <w:t xml:space="preserve">78230149776 </w:t>
            </w:r>
            <w:r>
              <w:rPr>
                <w:sz w:val="20"/>
                <w:szCs w:val="20"/>
              </w:rPr>
              <w:t xml:space="preserve">от </w:t>
            </w:r>
            <w:r>
              <w:rPr>
                <w:color w:val="FF0000"/>
                <w:sz w:val="20"/>
                <w:szCs w:val="20"/>
              </w:rPr>
              <w:t>«07» февраля 2025 г.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«Единый федеральный реестр сведений о банкротстве» сообщение № </w:t>
            </w:r>
            <w:r>
              <w:rPr>
                <w:color w:val="FF0000"/>
                <w:sz w:val="20"/>
                <w:szCs w:val="20"/>
              </w:rPr>
              <w:t>3134699</w:t>
            </w:r>
            <w:r>
              <w:rPr>
                <w:sz w:val="20"/>
                <w:szCs w:val="20"/>
              </w:rPr>
              <w:t xml:space="preserve"> от </w:t>
            </w:r>
            <w:r>
              <w:rPr>
                <w:color w:val="FF0000"/>
                <w:sz w:val="20"/>
                <w:szCs w:val="20"/>
              </w:rPr>
              <w:t>«18» февраля 2025 г.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Уведомление кредиторов о признании гражданина банкротом и введении реализации имущества гражданина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«30» февраля 2025 г. </w:t>
            </w:r>
            <w:r>
              <w:rPr>
                <w:sz w:val="20"/>
                <w:szCs w:val="20"/>
              </w:rPr>
              <w:t xml:space="preserve">посредством сервиса электронных отправлений «Почты России» заказным письмом в адрес </w:t>
            </w:r>
          </w:p>
          <w:p>
            <w:pPr>
              <w:pStyle w:val="Normal"/>
              <w:rPr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ПАО «Сбербанк России», Банка ВТБ (ПАО)</w:t>
            </w:r>
            <w:r>
              <w:rPr>
                <w:sz w:val="20"/>
                <w:szCs w:val="20"/>
              </w:rPr>
              <w:t xml:space="preserve"> направлены уведомления о введении процедуры реализации имущества в отношении </w:t>
            </w:r>
            <w:r>
              <w:rPr>
                <w:color w:val="00B050"/>
                <w:sz w:val="20"/>
                <w:szCs w:val="20"/>
              </w:rPr>
              <w:t>Рукиной Ольги Валерьевны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закрытия реестра кредиторов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«17» июля 2025 г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Всего рассмотрено в арбитражном суде заявленных требований о включении в реестр требований кредиторов, из них принято определений: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</w:t>
            </w:r>
            <w:r>
              <w:rPr>
                <w:sz w:val="20"/>
                <w:szCs w:val="20"/>
              </w:rPr>
              <w:t>о включении требований в реестр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</w:t>
            </w:r>
            <w:r>
              <w:rPr>
                <w:sz w:val="20"/>
                <w:szCs w:val="20"/>
              </w:rPr>
              <w:t>об отказе включить требования в реестр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496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кредиторов, включенных в реестр требований кредиторов на дату составления отчета</w:t>
            </w:r>
          </w:p>
        </w:tc>
        <w:tc>
          <w:tcPr>
            <w:tcW w:w="49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</w:t>
            </w:r>
          </w:p>
        </w:tc>
      </w:tr>
    </w:tbl>
    <w:p>
      <w:pPr>
        <w:pStyle w:val="Style11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4.7.2. Сведения о размере требований кредиторов, включенных в реестр требований кредиторов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565"/>
        <w:gridCol w:w="3151"/>
        <w:gridCol w:w="1684"/>
        <w:gridCol w:w="1683"/>
        <w:gridCol w:w="1475"/>
        <w:gridCol w:w="1363"/>
      </w:tblGrid>
      <w:tr>
        <w:trPr/>
        <w:tc>
          <w:tcPr>
            <w:tcW w:w="565" w:type="dxa"/>
            <w:vMerge w:val="restart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  <w:r>
              <w:rPr>
                <w:sz w:val="20"/>
                <w:szCs w:val="20"/>
              </w:rPr>
              <w:t>п/п</w:t>
            </w:r>
          </w:p>
        </w:tc>
        <w:tc>
          <w:tcPr>
            <w:tcW w:w="3151" w:type="dxa"/>
            <w:vMerge w:val="restart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кредитора</w:t>
            </w:r>
          </w:p>
        </w:tc>
        <w:tc>
          <w:tcPr>
            <w:tcW w:w="3367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 (руб.)</w:t>
            </w:r>
          </w:p>
        </w:tc>
        <w:tc>
          <w:tcPr>
            <w:tcW w:w="1475" w:type="dxa"/>
            <w:vMerge w:val="restart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Процент удовлетворения требований кредиторов</w:t>
            </w:r>
          </w:p>
        </w:tc>
        <w:tc>
          <w:tcPr>
            <w:tcW w:w="1363" w:type="dxa"/>
            <w:vMerge w:val="restart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погашения</w:t>
            </w:r>
          </w:p>
        </w:tc>
      </w:tr>
      <w:tr>
        <w:trPr/>
        <w:tc>
          <w:tcPr>
            <w:tcW w:w="565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151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требований кредиторов согласно реестру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погашенных требований кредиторов</w:t>
            </w:r>
          </w:p>
        </w:tc>
        <w:tc>
          <w:tcPr>
            <w:tcW w:w="1475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63" w:type="dxa"/>
            <w:vMerge w:val="continue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Первая очередь:</w:t>
            </w:r>
            <w:r>
              <w:rPr>
                <w:sz w:val="20"/>
                <w:szCs w:val="20"/>
              </w:rPr>
              <w:t xml:space="preserve"> требования граждан, перед которыми должник несет ответственность за причинение вреда жизни или здоровью, а также требования о взыскании алиментов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Вторая очередь:</w:t>
            </w:r>
            <w:r>
              <w:rPr>
                <w:sz w:val="20"/>
                <w:szCs w:val="20"/>
              </w:rPr>
              <w:t xml:space="preserve"> расчеты по выплате выходных пособий и оплате труда лиц, работающих или работавших по трудовому договору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Третья очередь:</w:t>
            </w:r>
            <w:r>
              <w:rPr>
                <w:sz w:val="20"/>
                <w:szCs w:val="20"/>
              </w:rPr>
              <w:t xml:space="preserve"> расчеты с другими кредиторами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ИТОГО ТРЕТЬЯ ОЧЕРЕДЬ: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Часть 1.</w:t>
            </w:r>
            <w:r>
              <w:rPr>
                <w:sz w:val="20"/>
                <w:szCs w:val="20"/>
              </w:rPr>
              <w:t xml:space="preserve"> Требования кредиторов по обязательствам, обеспеченным залогом имущества должника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Часть 2.</w:t>
            </w:r>
            <w:r>
              <w:rPr>
                <w:sz w:val="20"/>
                <w:szCs w:val="20"/>
              </w:rPr>
              <w:t xml:space="preserve"> Требования кредиторов (за исключением требований первой и второй очереди, а также требований, указанных в частях 1, 3, 4 третьей очереди)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ПУБЛИЧНОЕ АКЦИОНЕРНОЕ ОБЩЕСТВО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sz w:val="17"/>
                <w:szCs w:val="17"/>
              </w:rPr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ОБЩЕСТВО С ОГРАНИЧЕННОЙ ОТВЕТСТВЕННОСТЬЮ 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ФЕДЕРАЛЬНАЯ НАЛОГОВАЯ СЛУЖБА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Часть 3.</w:t>
            </w:r>
            <w:r>
              <w:rPr>
                <w:sz w:val="20"/>
                <w:szCs w:val="20"/>
              </w:rPr>
              <w:t xml:space="preserve"> Требования кредиторов по процентам, начисленным на сумму требований кредиторов в ходе процедур банкротства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17"/>
                <w:szCs w:val="17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Часть 4.</w:t>
            </w:r>
            <w:r>
              <w:rPr>
                <w:sz w:val="20"/>
                <w:szCs w:val="20"/>
              </w:rPr>
              <w:t xml:space="preserve"> Требования кредиторов по возмещению убытков в форме упущенной выгоды, взысканию неустоек (штрафов, пеней) и применению иных финансовых санкций, в том числе за неисполнение или ненадлежащее исполнение обязанности по уплате обязательных платежей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ПУБЛИЧНОЕ АКЦИОНЕРНОЕ ОБЩЕСТВО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sz w:val="17"/>
                <w:szCs w:val="17"/>
              </w:rPr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ОБЩЕСТВО С ОГРАНИЧЕННОЙ ОТВЕТСТВЕННОСТЬЮ 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ИТОГО ПО РЕЕСТРУ: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Требования конкурсных кредиторов и (или) уполномоченных органов, заявленных после закрытия реестра требований кредиторов, удовлетворяются за счет оставшегося после удовлетворения требований кредиторов, включенных в реестр требований кредиторов, имущества должника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5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3716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ВСЕГО:</w:t>
            </w:r>
          </w:p>
        </w:tc>
        <w:tc>
          <w:tcPr>
            <w:tcW w:w="16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1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147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136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</w:tr>
    </w:tbl>
    <w:p>
      <w:pPr>
        <w:pStyle w:val="Style11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4.8. Сведения о наличии и исполнении требований кредиторов по текущим платежам</w:t>
      </w:r>
    </w:p>
    <w:tbl>
      <w:tblPr>
        <w:tblW w:w="5000" w:type="pct"/>
        <w:jc w:val="start"/>
        <w:tblInd w:w="-15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579"/>
        <w:gridCol w:w="2445"/>
        <w:gridCol w:w="1931"/>
        <w:gridCol w:w="1278"/>
        <w:gridCol w:w="1107"/>
        <w:gridCol w:w="1019"/>
        <w:gridCol w:w="1562"/>
      </w:tblGrid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  <w:r>
              <w:rPr>
                <w:sz w:val="20"/>
                <w:szCs w:val="20"/>
              </w:rPr>
              <w:t>п/п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кредитора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требования по текущим платежам, основание возникновения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Размер обязательства (руб.)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погашения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 погашения (руб.)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Непогашенный остаток на дату составления отчета</w:t>
            </w:r>
          </w:p>
        </w:tc>
      </w:tr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>
        <w:trPr/>
        <w:tc>
          <w:tcPr>
            <w:tcW w:w="9921" w:type="dxa"/>
            <w:gridSpan w:val="7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Первая очередь: </w:t>
            </w:r>
            <w:r>
              <w:rPr>
                <w:sz w:val="20"/>
                <w:szCs w:val="20"/>
              </w:rPr>
              <w:t>требования по текущим платежам, связанным с уплатой алиментов, судебными расходами по делу о банкротстве гражданина, выплатой вознаграждения финансовому управляющему, взысканием задолженности по выплате вознаграждения лицам, привлеченным финансовым управляющим для обеспечения возложенных на него обязанностей в деле о банкротстве гражданина, и требования по текущим платежам, связанным с расходами на погребение умершего, расходами на охрану наследства, совершением нотариальных действий нотариусом в деле о банкротстве гражданина в случае его смерти</w:t>
            </w:r>
          </w:p>
        </w:tc>
      </w:tr>
      <w:tr>
        <w:trPr/>
        <w:tc>
          <w:tcPr>
            <w:tcW w:w="4955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Федорец Василий Владимирович, 195112, г. Санкт-Петербург, а/я 16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Расходы на опубликование сообщений на ЕФРСБ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560,55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530,88</w:t>
            </w:r>
          </w:p>
        </w:tc>
      </w:tr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Федорец Василий Владимирович, 195112, г. Санкт-Петербург, а/я 16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Почтовые расходы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1490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1490</w:t>
            </w:r>
          </w:p>
        </w:tc>
      </w:tr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Федорец Василий Владимирович, 195112, г. Санкт-Петербург, а/я 16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Расходы на опубликование сообщений в газетах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7866,05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7866,05</w:t>
            </w:r>
          </w:p>
        </w:tc>
      </w:tr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Федорец Василий Владимирович, 195112, г. Санкт-Петербург, а/я 16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Будущие расходы на опубликование сообщений на ЕФРСБ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1121,1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1121,1</w:t>
            </w:r>
          </w:p>
        </w:tc>
      </w:tr>
      <w:tr>
        <w:trPr/>
        <w:tc>
          <w:tcPr>
            <w:tcW w:w="9921" w:type="dxa"/>
            <w:gridSpan w:val="7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Вторая очередь:</w:t>
            </w:r>
            <w:r>
              <w:rPr>
                <w:sz w:val="20"/>
                <w:szCs w:val="20"/>
              </w:rPr>
              <w:t xml:space="preserve"> требования о выплате выходных пособий и об оплате труда лиц, работающих или работавших по трудовым договорам</w:t>
            </w:r>
          </w:p>
        </w:tc>
      </w:tr>
      <w:tr>
        <w:trPr/>
        <w:tc>
          <w:tcPr>
            <w:tcW w:w="4955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7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Третья очередь:</w:t>
            </w:r>
            <w:r>
              <w:rPr>
                <w:sz w:val="20"/>
                <w:szCs w:val="20"/>
              </w:rPr>
              <w:t xml:space="preserve"> требования о внесении платы за жилое помещение и коммунальные услуги, в том числе об уплате взноса на капитальный ремонт общего имущества в многоквартирном доме</w:t>
            </w:r>
          </w:p>
        </w:tc>
      </w:tr>
      <w:tr>
        <w:trPr/>
        <w:tc>
          <w:tcPr>
            <w:tcW w:w="4955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9921" w:type="dxa"/>
            <w:gridSpan w:val="7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Четвертая очередь</w:t>
            </w:r>
            <w:r>
              <w:rPr>
                <w:sz w:val="20"/>
                <w:szCs w:val="20"/>
              </w:rPr>
              <w:t>: требования по иным текущим платежам</w:t>
            </w:r>
          </w:p>
        </w:tc>
      </w:tr>
      <w:tr>
        <w:trPr/>
        <w:tc>
          <w:tcPr>
            <w:tcW w:w="4955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Всего, в том числе: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</w:tr>
      <w:tr>
        <w:trPr/>
        <w:tc>
          <w:tcPr>
            <w:tcW w:w="5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4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93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4955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ИТОГО ПО ВСЕМ ОЧЕРЕДЯМ</w:t>
            </w:r>
          </w:p>
        </w:tc>
        <w:tc>
          <w:tcPr>
            <w:tcW w:w="12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10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5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0,00</w:t>
            </w:r>
          </w:p>
        </w:tc>
      </w:tr>
    </w:tbl>
    <w:p>
      <w:pPr>
        <w:pStyle w:val="Style11"/>
        <w:ind w:start="1800" w:end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</w:t>
      </w:r>
    </w:p>
    <w:p>
      <w:pPr>
        <w:pStyle w:val="Style11"/>
        <w:ind w:start="1800" w:end="0"/>
        <w:rPr>
          <w:b/>
          <w:sz w:val="20"/>
          <w:szCs w:val="20"/>
        </w:rPr>
      </w:pPr>
      <w:r>
        <w:rPr>
          <w:b/>
          <w:sz w:val="20"/>
          <w:szCs w:val="20"/>
        </w:rPr>
        <w:t>4.9. Сведения о проведении анализа финансового состояния должника</w:t>
      </w:r>
    </w:p>
    <w:tbl>
      <w:tblPr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4"/>
        <w:gridCol w:w="5244"/>
        <w:gridCol w:w="4360"/>
      </w:tblGrid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  <w:r>
              <w:rPr>
                <w:sz w:val="20"/>
                <w:szCs w:val="20"/>
              </w:rPr>
              <w:t>п/п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Результаты финансового состояния должника</w:t>
            </w:r>
          </w:p>
        </w:tc>
        <w:tc>
          <w:tcPr>
            <w:tcW w:w="4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Финансовый анализ проведен </w:t>
            </w:r>
            <w:r>
              <w:rPr>
                <w:color w:val="FF0000"/>
                <w:sz w:val="20"/>
                <w:szCs w:val="20"/>
              </w:rPr>
              <w:t>«14» мая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2026</w:t>
            </w:r>
            <w:r>
              <w:rPr>
                <w:sz w:val="20"/>
                <w:szCs w:val="20"/>
              </w:rPr>
              <w:t xml:space="preserve"> г. Результаты финансового анализа представлены в пп. 2 и 3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возможности или невозможности восстановления платежеспособности должника</w:t>
            </w:r>
          </w:p>
        </w:tc>
        <w:tc>
          <w:tcPr>
            <w:tcW w:w="4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Невозможно восстановить платежеспособность должника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достаточности (недостаточности имущества для покрытия судебных расходов и расходов на выплату вознаграждения финансовому управляющему</w:t>
            </w:r>
          </w:p>
        </w:tc>
        <w:tc>
          <w:tcPr>
            <w:tcW w:w="4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Средств и имущества должника достаточно для покрытия судебных расходов и расходов на выплату вознаграждения арбитражному управляющему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Выявление признаков преднамеренного банкротства</w:t>
            </w:r>
          </w:p>
        </w:tc>
        <w:tc>
          <w:tcPr>
            <w:tcW w:w="4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Признаки преднамеренного банкротства не выявлены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Выявление признаков фиктивного банкротства</w:t>
            </w:r>
          </w:p>
        </w:tc>
        <w:tc>
          <w:tcPr>
            <w:tcW w:w="4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Признаки фиктивного банкротства не выявлены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Информация о наличии (отсутствии) брачного договора, договора (соглашения) о разделе имущества (с указанием даты его заключения, фамилии, имени и отчества (при наличии) лица, с которым он заключен, фамилии, имени и отчества и номер лицензии нотариуса, его заверявшего или наименования суда, номера дела и даты судебного акта, которым он утвержден</w:t>
            </w:r>
          </w:p>
        </w:tc>
        <w:tc>
          <w:tcPr>
            <w:tcW w:w="4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1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Брачный договор не заключался, раздел имущества не проводился</w:t>
            </w:r>
          </w:p>
        </w:tc>
      </w:tr>
    </w:tbl>
    <w:p>
      <w:pPr>
        <w:pStyle w:val="Style11"/>
        <w:ind w:start="1080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5.  Иные сведения о ходе реализации имущества гражданина</w:t>
      </w:r>
    </w:p>
    <w:p>
      <w:pPr>
        <w:pStyle w:val="Style11"/>
        <w:ind w:start="708" w:end="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За период с </w:t>
      </w:r>
      <w:r>
        <w:rPr>
          <w:bCs/>
          <w:color w:val="FF0000"/>
          <w:sz w:val="20"/>
          <w:szCs w:val="20"/>
        </w:rPr>
        <w:t xml:space="preserve">01.01.2025 г. </w:t>
      </w:r>
      <w:r>
        <w:rPr>
          <w:bCs/>
          <w:sz w:val="20"/>
          <w:szCs w:val="20"/>
        </w:rPr>
        <w:t xml:space="preserve">по </w:t>
      </w:r>
      <w:r>
        <w:rPr>
          <w:bCs/>
          <w:color w:val="FF0000"/>
          <w:sz w:val="20"/>
          <w:szCs w:val="20"/>
        </w:rPr>
        <w:t>01.08.2026 г.</w:t>
      </w:r>
      <w:r>
        <w:rPr>
          <w:bCs/>
          <w:sz w:val="20"/>
          <w:szCs w:val="20"/>
        </w:rPr>
        <w:t xml:space="preserve"> проведена следующая работа:</w:t>
      </w:r>
    </w:p>
    <w:p>
      <w:pPr>
        <w:pStyle w:val="Style11"/>
        <w:numPr>
          <w:ilvl w:val="0"/>
          <w:numId w:val="4"/>
        </w:numPr>
        <w:spacing w:before="120" w:after="0"/>
        <w:rPr>
          <w:bCs/>
          <w:sz w:val="20"/>
          <w:szCs w:val="20"/>
        </w:rPr>
      </w:pPr>
      <w:r>
        <w:rPr>
          <w:bCs/>
          <w:sz w:val="20"/>
          <w:szCs w:val="20"/>
        </w:rPr>
        <w:t>направлены запросы в регистрирующие органы на факт наличия имущества у должника;</w:t>
      </w:r>
    </w:p>
    <w:p>
      <w:pPr>
        <w:pStyle w:val="Style11"/>
        <w:numPr>
          <w:ilvl w:val="0"/>
          <w:numId w:val="4"/>
        </w:numPr>
        <w:spacing w:before="0" w:after="0"/>
        <w:rPr>
          <w:bCs/>
          <w:sz w:val="20"/>
          <w:szCs w:val="20"/>
        </w:rPr>
      </w:pPr>
      <w:r>
        <w:rPr>
          <w:bCs/>
          <w:sz w:val="20"/>
          <w:szCs w:val="20"/>
        </w:rPr>
        <w:t>проведена опись имущества должника;</w:t>
      </w:r>
    </w:p>
    <w:p>
      <w:pPr>
        <w:pStyle w:val="Style11"/>
        <w:numPr>
          <w:ilvl w:val="0"/>
          <w:numId w:val="4"/>
        </w:numPr>
        <w:spacing w:before="0" w:after="0"/>
        <w:rPr>
          <w:bCs/>
          <w:sz w:val="20"/>
          <w:szCs w:val="20"/>
        </w:rPr>
      </w:pPr>
      <w:r>
        <w:rPr>
          <w:bCs/>
          <w:sz w:val="20"/>
          <w:szCs w:val="20"/>
        </w:rPr>
        <w:t>сведения о ходе процедуры реализации имущества опубликованы в газете «Коммерсантъ» и на ЕФРСБ;</w:t>
      </w:r>
    </w:p>
    <w:p>
      <w:pPr>
        <w:pStyle w:val="Style11"/>
        <w:numPr>
          <w:ilvl w:val="0"/>
          <w:numId w:val="4"/>
        </w:numPr>
        <w:spacing w:before="0" w:after="0"/>
        <w:rPr>
          <w:bCs/>
          <w:sz w:val="20"/>
          <w:szCs w:val="20"/>
        </w:rPr>
      </w:pPr>
      <w:r>
        <w:rPr>
          <w:bCs/>
          <w:sz w:val="20"/>
          <w:szCs w:val="20"/>
        </w:rPr>
        <w:t>подготовлены заключения о наличии (отсутствии) признаков преднамеренного и фиктивного банкротства, а также о наличии (отсутствии) оснований для оспаривания сделок должника;</w:t>
      </w:r>
    </w:p>
    <w:p>
      <w:pPr>
        <w:pStyle w:val="Style11"/>
        <w:numPr>
          <w:ilvl w:val="0"/>
          <w:numId w:val="4"/>
        </w:numPr>
        <w:spacing w:before="0" w:after="0"/>
        <w:rPr>
          <w:bCs/>
          <w:sz w:val="20"/>
          <w:szCs w:val="20"/>
        </w:rPr>
      </w:pPr>
      <w:r>
        <w:rPr>
          <w:bCs/>
          <w:sz w:val="20"/>
          <w:szCs w:val="20"/>
        </w:rPr>
        <w:t>ведение реестра требований кредиторов;</w:t>
      </w:r>
    </w:p>
    <w:p>
      <w:pPr>
        <w:pStyle w:val="Style11"/>
        <w:numPr>
          <w:ilvl w:val="0"/>
          <w:numId w:val="4"/>
        </w:numPr>
        <w:spacing w:before="0" w:after="0"/>
        <w:rPr>
          <w:bCs/>
          <w:sz w:val="20"/>
          <w:szCs w:val="20"/>
        </w:rPr>
      </w:pPr>
      <w:r>
        <w:rPr>
          <w:sz w:val="20"/>
          <w:szCs w:val="20"/>
        </w:rPr>
        <w:t xml:space="preserve">собрание кредиторов </w:t>
      </w:r>
      <w:r>
        <w:rPr>
          <w:color w:val="00B050"/>
          <w:sz w:val="20"/>
          <w:szCs w:val="20"/>
        </w:rPr>
        <w:t>Бугровой Е.К.</w:t>
      </w:r>
      <w:r>
        <w:rPr>
          <w:sz w:val="20"/>
          <w:szCs w:val="20"/>
        </w:rPr>
        <w:t xml:space="preserve"> не проводилось в виду отсутствия вопросов, относящихся к исключительной компетенции собрания кредиторов при банкротстве гражданина (</w:t>
      </w:r>
      <w:r>
        <w:rPr>
          <w:bCs/>
          <w:sz w:val="20"/>
          <w:szCs w:val="20"/>
        </w:rPr>
        <w:t>п. 12 ст. 213.8 Федерального закона от 26.10.2002 № 127-ФЗ «О несостоятельности (банкротстве)»</w:t>
      </w:r>
      <w:r>
        <w:rPr>
          <w:sz w:val="20"/>
          <w:szCs w:val="20"/>
        </w:rPr>
        <w:t>);</w:t>
      </w:r>
    </w:p>
    <w:p>
      <w:pPr>
        <w:pStyle w:val="Style11"/>
        <w:numPr>
          <w:ilvl w:val="0"/>
          <w:numId w:val="4"/>
        </w:numPr>
        <w:spacing w:before="0" w:after="0"/>
        <w:rPr>
          <w:bCs/>
          <w:sz w:val="20"/>
          <w:szCs w:val="20"/>
        </w:rPr>
      </w:pPr>
      <w:r>
        <w:rPr>
          <w:sz w:val="20"/>
          <w:szCs w:val="20"/>
        </w:rPr>
        <w:t>с информацией о ходе проведения процедуры реализации имущества конкурсные кредиторы были ознакомлены путем направления в их адрес отчета финансового управляющего не реже, чем один раз в квартал (</w:t>
      </w:r>
      <w:r>
        <w:rPr>
          <w:bCs/>
          <w:sz w:val="20"/>
          <w:szCs w:val="20"/>
        </w:rPr>
        <w:t>п. 8 ст. 213.9 Федерального закона от 26.10.2002 № 127-ФЗ «О несостоятельности (банкротстве)»</w:t>
      </w:r>
      <w:r>
        <w:rPr>
          <w:sz w:val="20"/>
          <w:szCs w:val="20"/>
        </w:rPr>
        <w:t>);</w:t>
      </w:r>
    </w:p>
    <w:p>
      <w:pPr>
        <w:pStyle w:val="Style11"/>
        <w:numPr>
          <w:ilvl w:val="0"/>
          <w:numId w:val="4"/>
        </w:numPr>
        <w:spacing w:before="0" w:after="0"/>
        <w:rPr>
          <w:bCs/>
          <w:sz w:val="20"/>
          <w:szCs w:val="20"/>
        </w:rPr>
      </w:pPr>
      <w:r>
        <w:rPr>
          <w:bCs/>
          <w:color w:val="FF0000"/>
          <w:sz w:val="20"/>
          <w:szCs w:val="20"/>
        </w:rPr>
        <w:t xml:space="preserve">30.12.2025 г. </w:t>
      </w:r>
      <w:r>
        <w:rPr>
          <w:sz w:val="20"/>
          <w:szCs w:val="20"/>
        </w:rPr>
        <w:t>в адрес кредиторов, включенных в реестр требований кредиторов на дату окончания квартала,  был направлен отчет финансового управляющего о результатах проведения реализации имущества гражданина с целью доведения до сведения кредиторов информации о ходе проведения процедуры реализации имущества, как установлено законом, не реже, чем один раз в квартал (</w:t>
      </w:r>
      <w:r>
        <w:rPr>
          <w:bCs/>
          <w:sz w:val="20"/>
          <w:szCs w:val="20"/>
        </w:rPr>
        <w:t>п. 8 ст. 213.9 Федерального закона от 26.10.2002 № 127-ФЗ «О несостоятельности (банкротстве)»</w:t>
      </w:r>
      <w:r>
        <w:rPr>
          <w:sz w:val="20"/>
          <w:szCs w:val="20"/>
        </w:rPr>
        <w:t>);</w:t>
      </w:r>
    </w:p>
    <w:p>
      <w:pPr>
        <w:pStyle w:val="Normal"/>
        <w:numPr>
          <w:ilvl w:val="0"/>
          <w:numId w:val="4"/>
        </w:numPr>
        <w:autoSpaceDE w:val="false"/>
        <w:rPr>
          <w:sz w:val="20"/>
          <w:szCs w:val="20"/>
        </w:rPr>
      </w:pPr>
      <w:r>
        <w:rPr>
          <w:sz w:val="20"/>
          <w:szCs w:val="20"/>
        </w:rPr>
        <w:t>Рассчитывая размер денежных средств, выдаваемых должнику ежемесячно, финансовый управляющий руководствовался п. 12 ст. 21 Федерального закона от 28.12.2013 № 400-ФЗ «О страховых пенсиях», который стал действовать с 01.01.2019 г. в следующей редакции: «Выплата страховой пенсии на территории Российской Федерации производится пенсионеру органом, осуществляющим пенсионное обеспечение, в установленном размере без каких-либо ограничений, в том числе при признании этого гражданина банкротом в соответствии с Федеральным законом от 26 октября 2002 года № 127-ФЗ «О несостоятельности (банкротстве)».</w:t>
      </w:r>
    </w:p>
    <w:p>
      <w:pPr>
        <w:pStyle w:val="Normal"/>
        <w:numPr>
          <w:ilvl w:val="0"/>
          <w:numId w:val="4"/>
        </w:numPr>
        <w:autoSpaceDE w:val="false"/>
        <w:rPr>
          <w:sz w:val="20"/>
          <w:szCs w:val="20"/>
        </w:rPr>
      </w:pPr>
      <w:r>
        <w:rPr>
          <w:sz w:val="20"/>
          <w:szCs w:val="20"/>
        </w:rPr>
        <w:t xml:space="preserve">Рассчитывая размер денежных средств, выдаваемых должнику ежемесячно, финансовый управляющий исходил из того, что за период процедуры реализации имущества на иждивении у должника находилось </w:t>
      </w:r>
      <w:r>
        <w:rPr>
          <w:color w:val="FF0000"/>
          <w:sz w:val="20"/>
          <w:szCs w:val="20"/>
        </w:rPr>
        <w:t>двое</w:t>
      </w:r>
      <w:r>
        <w:rPr>
          <w:sz w:val="20"/>
          <w:szCs w:val="20"/>
        </w:rPr>
        <w:t xml:space="preserve"> несовершеннолетних детей – </w:t>
      </w:r>
      <w:r>
        <w:rPr>
          <w:color w:val="FF0000"/>
          <w:sz w:val="20"/>
          <w:szCs w:val="20"/>
        </w:rPr>
        <w:t>Афанасьева Аврора Александровна, 20.03.2015 г.р. и Афанасьев Артем Александрович, 18.07.2011 г.р</w:t>
      </w:r>
      <w:r>
        <w:rPr>
          <w:sz w:val="20"/>
          <w:szCs w:val="20"/>
        </w:rPr>
        <w:t xml:space="preserve">., при этом руководствуясь величиной прожиточного минимума, установленной </w:t>
      </w:r>
      <w:r>
        <w:rPr>
          <w:color w:val="FF0000"/>
          <w:sz w:val="20"/>
          <w:szCs w:val="20"/>
        </w:rPr>
        <w:t xml:space="preserve">Постановлением Правительства Санкт-Петербурга № 682 от 08 августа 2024 года и № 858 от 11 ноября 2025 года, </w:t>
      </w:r>
      <w:r>
        <w:rPr>
          <w:sz w:val="20"/>
          <w:szCs w:val="20"/>
        </w:rPr>
        <w:t>с учетом позиции, изложенной в Постановлении Конституционного суда Российской Федерации от 14.04.2022 года.</w:t>
      </w:r>
    </w:p>
    <w:p>
      <w:pPr>
        <w:pStyle w:val="Style11"/>
        <w:spacing w:before="0" w:after="0"/>
        <w:ind w:start="1068" w:end="0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4898"/>
        <w:gridCol w:w="124"/>
        <w:gridCol w:w="4899"/>
      </w:tblGrid>
      <w:tr>
        <w:trPr/>
        <w:tc>
          <w:tcPr>
            <w:tcW w:w="4898" w:type="dxa"/>
            <w:tcBorders/>
          </w:tcPr>
          <w:p>
            <w:pPr>
              <w:pStyle w:val="Style11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  <w:p>
            <w:pPr>
              <w:pStyle w:val="Style1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Финансовый управляющий</w:t>
              <w:br/>
            </w:r>
            <w:r>
              <w:rPr>
                <w:b/>
                <w:bCs/>
                <w:color w:val="00B050"/>
                <w:sz w:val="20"/>
                <w:szCs w:val="20"/>
              </w:rPr>
              <w:t>Тереховой Светланы Александровны</w:t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36" w:type="dxa"/>
                <w:start w:w="36" w:type="dxa"/>
                <w:bottom w:w="36" w:type="dxa"/>
                <w:end w:w="36" w:type="dxa"/>
              </w:tblCellMar>
            </w:tblPr>
            <w:tblGrid>
              <w:gridCol w:w="4826"/>
            </w:tblGrid>
            <w:tr>
              <w:trPr/>
              <w:tc>
                <w:tcPr>
                  <w:tcW w:w="4826" w:type="dxa"/>
                  <w:tcBorders/>
                  <w:vAlign w:val="center"/>
                </w:tcPr>
                <w:p>
                  <w:pPr>
                    <w:pStyle w:val="Normal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Дата </w:t>
                  </w:r>
                  <w:r>
                    <w:rPr>
                      <w:color w:val="FF0000"/>
                      <w:sz w:val="20"/>
                      <w:szCs w:val="20"/>
                    </w:rPr>
                    <w:t>«01» августа 2026</w:t>
                  </w:r>
                  <w:r>
                    <w:rPr>
                      <w:sz w:val="20"/>
                      <w:szCs w:val="20"/>
                    </w:rPr>
                    <w:t xml:space="preserve"> г.</w:t>
                  </w:r>
                </w:p>
              </w:tc>
            </w:tr>
          </w:tbl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24" w:type="dxa"/>
            <w:tcBorders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899" w:type="dxa"/>
            <w:tcBorders/>
          </w:tcPr>
          <w:p>
            <w:pPr>
              <w:pStyle w:val="Style11"/>
              <w:spacing w:before="0" w:after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  <w:p>
            <w:pPr>
              <w:pStyle w:val="Style11"/>
              <w:spacing w:before="0" w:after="0"/>
              <w:jc w:val="end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1143000" cy="43561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5" t="-118" r="-45" b="-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435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                          </w:t>
            </w:r>
            <w:r>
              <w:rPr>
                <w:b/>
                <w:bCs/>
                <w:sz w:val="20"/>
                <w:szCs w:val="20"/>
              </w:rPr>
              <w:t>В.В. Федорец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851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0"/>
        </w:tabs>
        <w:ind w:start="1080" w:hanging="360"/>
      </w:pPr>
      <w:rPr>
        <w:b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  <w:lvl w:ilvl="1">
      <w:start w:val="1"/>
      <w:numFmt w:val="decimal"/>
      <w:isLgl/>
      <w:lvlText w:val="%1.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0"/>
        </w:tabs>
        <w:ind w:start="1800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0"/>
        </w:tabs>
        <w:ind w:start="2160" w:hanging="72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0"/>
        </w:tabs>
        <w:ind w:start="2880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3240" w:hanging="108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3600" w:hanging="108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4320" w:hanging="144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4680" w:hanging="1440"/>
      </w:pPr>
      <w:rPr/>
    </w:lvl>
  </w:abstractNum>
  <w:abstractNum w:abstractNumId="4">
    <w:lvl w:ilvl="0">
      <w:start w:val="13"/>
      <w:numFmt w:val="bullet"/>
      <w:lvlText w:val="-"/>
      <w:lvlJc w:val="start"/>
      <w:pPr>
        <w:tabs>
          <w:tab w:val="num" w:pos="0"/>
        </w:tabs>
        <w:ind w:start="1068" w:hanging="360"/>
      </w:pPr>
      <w:rPr>
        <w:rFonts w:ascii="Times New Roman" w:hAnsi="Times New Roman" w:cs="Times New Roman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BodyText"/>
    <w:pPr>
      <w:numPr>
        <w:ilvl w:val="0"/>
        <w:numId w:val="1"/>
      </w:numPr>
      <w:spacing w:before="280" w:after="280"/>
      <w:outlineLvl w:val="0"/>
    </w:pPr>
    <w:rPr>
      <w:rFonts w:ascii="Cambria" w:hAnsi="Cambria" w:cs="Cambria"/>
      <w:b/>
      <w:bCs/>
      <w:color w:val="365F91"/>
      <w:sz w:val="28"/>
      <w:szCs w:val="28"/>
      <w:lang w:val="ru-RU"/>
    </w:rPr>
  </w:style>
  <w:style w:type="paragraph" w:styleId="Heading2">
    <w:name w:val="heading 2"/>
    <w:basedOn w:val="Normal"/>
    <w:next w:val="BodyText"/>
    <w:pPr>
      <w:numPr>
        <w:ilvl w:val="1"/>
        <w:numId w:val="1"/>
      </w:numPr>
      <w:spacing w:before="280" w:after="280"/>
      <w:outlineLvl w:val="1"/>
    </w:pPr>
    <w:rPr>
      <w:rFonts w:ascii="Cambria" w:hAnsi="Cambria" w:cs="Cambria"/>
      <w:b/>
      <w:bCs/>
      <w:color w:val="4F81BD"/>
      <w:sz w:val="26"/>
      <w:szCs w:val="26"/>
      <w:lang w:val="ru-RU"/>
    </w:rPr>
  </w:style>
  <w:style w:type="paragraph" w:styleId="Heading3">
    <w:name w:val="heading 3"/>
    <w:basedOn w:val="Normal"/>
    <w:next w:val="BodyText"/>
    <w:pPr>
      <w:numPr>
        <w:ilvl w:val="2"/>
        <w:numId w:val="1"/>
      </w:numPr>
      <w:spacing w:before="280" w:after="280"/>
      <w:outlineLvl w:val="2"/>
    </w:pPr>
    <w:rPr>
      <w:rFonts w:ascii="Cambria" w:hAnsi="Cambria" w:cs="Cambria"/>
      <w:b/>
      <w:bCs/>
      <w:color w:val="4F81BD"/>
      <w:lang w:val="ru-RU"/>
    </w:rPr>
  </w:style>
  <w:style w:type="paragraph" w:styleId="Heading4">
    <w:name w:val="heading 4"/>
    <w:basedOn w:val="Normal"/>
    <w:next w:val="BodyText"/>
    <w:pPr>
      <w:numPr>
        <w:ilvl w:val="3"/>
        <w:numId w:val="1"/>
      </w:numPr>
      <w:spacing w:before="280" w:after="280"/>
      <w:outlineLvl w:val="3"/>
    </w:pPr>
    <w:rPr>
      <w:rFonts w:ascii="Cambria" w:hAnsi="Cambria" w:cs="Cambria"/>
      <w:b/>
      <w:bCs/>
      <w:i/>
      <w:iCs/>
      <w:color w:val="4F81BD"/>
      <w:lang w:val="ru-RU"/>
    </w:rPr>
  </w:style>
  <w:style w:type="character" w:styleId="WW8Num1z0">
    <w:name w:val="WW8Num1z0"/>
    <w:rPr>
      <w:b/>
    </w:rPr>
  </w:style>
  <w:style w:type="character" w:styleId="WW8Num2z0">
    <w:name w:val="WW8Num2z0"/>
    <w:rPr/>
  </w:style>
  <w:style w:type="character" w:styleId="WW8Num3z0">
    <w:name w:val="WW8Num3z0"/>
    <w:rPr/>
  </w:style>
  <w:style w:type="character" w:styleId="WW8Num4z0">
    <w:name w:val="WW8Num4z0"/>
    <w:rPr/>
  </w:style>
  <w:style w:type="character" w:styleId="WW8Num5z0">
    <w:name w:val="WW8Num5z0"/>
    <w:rPr>
      <w:b/>
    </w:rPr>
  </w:style>
  <w:style w:type="character" w:styleId="WW8Num6z0">
    <w:name w:val="WW8Num6z0"/>
    <w:rPr>
      <w:b/>
    </w:rPr>
  </w:style>
  <w:style w:type="character" w:styleId="WW8Num6z1">
    <w:name w:val="WW8Num6z1"/>
    <w:rPr/>
  </w:style>
  <w:style w:type="character" w:styleId="WW8Num7z0">
    <w:name w:val="WW8Num7z0"/>
    <w:rPr>
      <w:rFonts w:ascii="Times New Roman" w:hAnsi="Times New Roman" w:eastAsia="Times New Roman" w:cs="Times New Roman"/>
    </w:rPr>
  </w:style>
  <w:style w:type="character" w:styleId="WW8Num7z1">
    <w:name w:val="WW8Num7z1"/>
    <w:rPr>
      <w:rFonts w:ascii="Courier New" w:hAnsi="Courier New" w:cs="Courier New"/>
    </w:rPr>
  </w:style>
  <w:style w:type="character" w:styleId="WW8Num7z2">
    <w:name w:val="WW8Num7z2"/>
    <w:rPr>
      <w:rFonts w:ascii="Wingdings" w:hAnsi="Wingdings" w:cs="Wingdings"/>
    </w:rPr>
  </w:style>
  <w:style w:type="character" w:styleId="WW8Num7z3">
    <w:name w:val="WW8Num7z3"/>
    <w:rPr>
      <w:rFonts w:ascii="Symbol" w:hAnsi="Symbol" w:cs="Symbol"/>
    </w:rPr>
  </w:style>
  <w:style w:type="character" w:styleId="WW8Num9z0">
    <w:name w:val="WW8Num9z0"/>
    <w:rPr/>
  </w:style>
  <w:style w:type="character" w:styleId="WW8Num10z0">
    <w:name w:val="WW8Num10z0"/>
    <w:rPr/>
  </w:style>
  <w:style w:type="character" w:styleId="WW8Num11z0">
    <w:name w:val="WW8Num11z0"/>
    <w:rPr/>
  </w:style>
  <w:style w:type="character" w:styleId="Style10">
    <w:name w:val="Основной шрифт абзаца"/>
    <w:rPr/>
  </w:style>
  <w:style w:type="character" w:styleId="1">
    <w:name w:val="Заголовок 1 Знак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2">
    <w:name w:val="Заголовок 2 Знак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3">
    <w:name w:val="Заголовок 3 Знак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4">
    <w:name w:val="Заголовок 4 Знак"/>
    <w:rPr>
      <w:rFonts w:ascii="Cambria" w:hAnsi="Cambria" w:eastAsia="Times New Roman" w:cs="Times New Roman"/>
      <w:b/>
      <w:bCs/>
      <w:i/>
      <w:iCs/>
      <w:color w:val="4F81BD"/>
      <w:sz w:val="24"/>
      <w:szCs w:val="24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Style11">
    <w:name w:val="Обычный (веб)"/>
    <w:basedOn w:val="Normal"/>
    <w:pPr>
      <w:spacing w:before="120" w:after="120"/>
    </w:pPr>
    <w:rPr/>
  </w:style>
  <w:style w:type="paragraph" w:styleId="indent">
    <w:name w:val="indent"/>
    <w:basedOn w:val="Normal"/>
    <w:pPr>
      <w:spacing w:before="120" w:after="120"/>
      <w:ind w:firstLine="708" w:start="0" w:end="0"/>
      <w:jc w:val="both"/>
    </w:pPr>
    <w:rPr/>
  </w:style>
  <w:style w:type="paragraph" w:styleId="indnomrg">
    <w:name w:val="indnomrg"/>
    <w:basedOn w:val="Normal"/>
    <w:pPr>
      <w:ind w:firstLine="708" w:start="0" w:end="0"/>
      <w:jc w:val="both"/>
    </w:pPr>
    <w:rPr/>
  </w:style>
  <w:style w:type="paragraph" w:styleId="nomrg">
    <w:name w:val="nomrg"/>
    <w:basedOn w:val="Normal"/>
    <w:pPr>
      <w:jc w:val="both"/>
    </w:pPr>
    <w:rPr/>
  </w:style>
  <w:style w:type="paragraph" w:styleId="zagolovok6">
    <w:name w:val="zagolovok6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Default">
    <w:name w:val="Default"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bidi="ar-SA" w:val="ru-RU" w:eastAsia="zh-CN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2019-03-22T19:39:00Z</dcterms:created>
  <dc:creator>Рустам Низамов</dc:creator>
  <dc:description/>
  <cp:keywords/>
  <dc:language>ru-RU</dc:language>
  <cp:lastModifiedBy>Рустам</cp:lastModifiedBy>
  <cp:lastPrinted>2019-04-16T20:53:00Z</cp:lastPrinted>
  <dcterms:modified xsi:type="dcterms:W3CDTF">2026-09-04T12:49:00Z</dcterms:modified>
  <cp:revision>243</cp:revision>
  <dc:subject/>
  <dc:title>Отчет финансового управляющего.</dc:title>
</cp:coreProperties>
</file>