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ru-RU"/>
        </w:rPr>
      </w:r>
    </w:p>
    <w:p>
      <w:pPr>
        <w:pStyle w:val="Normal"/>
        <w:autoSpaceDE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ru-RU"/>
        </w:rPr>
        <w:t>ЗАКЛЮЧЕНИЕ</w:t>
      </w:r>
    </w:p>
    <w:p>
      <w:pPr>
        <w:pStyle w:val="Normal"/>
        <w:autoSpaceDE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ru-RU"/>
        </w:rPr>
        <w:t>о наличии или об отсутствии оснований для оспаривания сделок должника</w:t>
      </w:r>
    </w:p>
    <w:p>
      <w:pPr>
        <w:pStyle w:val="Normal"/>
        <w:autoSpaceDE w:val="fals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ru-RU"/>
        </w:rPr>
      </w:r>
    </w:p>
    <w:tbl>
      <w:tblPr>
        <w:tblW w:w="99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53"/>
        <w:gridCol w:w="5659"/>
      </w:tblGrid>
      <w:tr>
        <w:trPr/>
        <w:tc>
          <w:tcPr>
            <w:tcW w:w="4253" w:type="dxa"/>
            <w:tcBorders/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 xml:space="preserve">Дата: </w:t>
            </w:r>
            <w:r>
              <w:rPr>
                <w:rFonts w:eastAsia="Times New Roman" w:cs="Times New Roman" w:ascii="Times New Roman" w:hAnsi="Times New Roman"/>
                <w:color w:val="FF0000"/>
                <w:sz w:val="20"/>
                <w:szCs w:val="20"/>
                <w:lang w:val="ru-RU" w:eastAsia="ru-RU"/>
              </w:rPr>
              <w:t>«16» сентября 2025 г.</w:t>
            </w:r>
          </w:p>
        </w:tc>
        <w:tc>
          <w:tcPr>
            <w:tcW w:w="5659" w:type="dxa"/>
            <w:tcBorders/>
          </w:tcPr>
          <w:p>
            <w:pPr>
              <w:pStyle w:val="Normal"/>
              <w:autoSpaceDE w:val="false"/>
              <w:spacing w:lineRule="auto" w:line="240" w:before="0" w:after="0"/>
              <w:jc w:val="end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 xml:space="preserve">Место составления: 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  <w:lang w:val="ru-RU" w:eastAsia="ru-RU"/>
              </w:rPr>
              <w:t>г. Санкт-Петербург</w:t>
            </w:r>
          </w:p>
        </w:tc>
      </w:tr>
    </w:tbl>
    <w:p>
      <w:pPr>
        <w:pStyle w:val="Normal"/>
        <w:autoSpaceDE w:val="fals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ru-RU"/>
        </w:rPr>
      </w:r>
    </w:p>
    <w:p>
      <w:pPr>
        <w:pStyle w:val="Style18"/>
        <w:spacing w:before="0" w:after="0"/>
        <w:rPr>
          <w:sz w:val="20"/>
          <w:szCs w:val="20"/>
        </w:rPr>
      </w:pPr>
      <w:r>
        <w:rPr>
          <w:sz w:val="20"/>
          <w:szCs w:val="20"/>
        </w:rPr>
        <w:t>Ф.И.О. арбитражного управляющего: Федорец Василий Владимирович</w:t>
      </w:r>
    </w:p>
    <w:p>
      <w:pPr>
        <w:pStyle w:val="Style18"/>
        <w:spacing w:before="0" w:after="0"/>
        <w:rPr>
          <w:sz w:val="20"/>
          <w:szCs w:val="20"/>
          <w:lang w:val="ru-RU" w:eastAsia="ru-RU"/>
        </w:rPr>
      </w:pPr>
      <w:r>
        <w:rPr>
          <w:sz w:val="20"/>
          <w:szCs w:val="20"/>
        </w:rPr>
        <w:t xml:space="preserve">Ф.И.О. должника: </w:t>
      </w:r>
      <w:r>
        <w:rPr>
          <w:color w:val="00B050"/>
          <w:sz w:val="20"/>
          <w:szCs w:val="20"/>
          <w:lang w:val="ru-RU" w:eastAsia="ru-RU"/>
        </w:rPr>
        <w:t>Терехова Светлана Александровна</w:t>
      </w:r>
    </w:p>
    <w:p>
      <w:pPr>
        <w:pStyle w:val="Style18"/>
        <w:spacing w:before="0" w:after="0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</w:r>
    </w:p>
    <w:tbl>
      <w:tblPr>
        <w:tblW w:w="101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28"/>
        <w:gridCol w:w="5210"/>
      </w:tblGrid>
      <w:tr>
        <w:trPr/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арбитражного суда, в производстве которого находится дело о банкротстве</w:t>
            </w:r>
          </w:p>
        </w:tc>
        <w:tc>
          <w:tcPr>
            <w:tcW w:w="5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 w:eastAsia="ru-RU"/>
              </w:rPr>
              <w:t xml:space="preserve">Арбитражный суд </w:t>
            </w:r>
            <w:r>
              <w:rPr>
                <w:color w:val="00B050"/>
                <w:sz w:val="20"/>
                <w:szCs w:val="20"/>
                <w:lang w:val="ru-RU" w:eastAsia="ru-RU"/>
              </w:rPr>
              <w:t>города Санкт-Петербурга и Ленинградской области</w:t>
            </w:r>
          </w:p>
        </w:tc>
      </w:tr>
      <w:tr>
        <w:trPr/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 дела</w:t>
            </w:r>
          </w:p>
        </w:tc>
        <w:tc>
          <w:tcPr>
            <w:tcW w:w="5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spacing w:before="0" w:after="0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  <w:lang w:val="ru-RU" w:eastAsia="ru-RU"/>
              </w:rPr>
              <w:t>А56-117152/2023</w:t>
            </w:r>
          </w:p>
        </w:tc>
      </w:tr>
      <w:tr>
        <w:trPr/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подачи в Арбитражный суд заявления о признании несостоятельным (банкротом)</w:t>
            </w:r>
          </w:p>
        </w:tc>
        <w:tc>
          <w:tcPr>
            <w:tcW w:w="5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spacing w:before="0" w:after="0"/>
              <w:rPr>
                <w:color w:val="FF0000"/>
                <w:sz w:val="20"/>
                <w:szCs w:val="20"/>
                <w:lang w:val="ru-RU" w:eastAsia="ru-RU"/>
              </w:rPr>
            </w:pPr>
            <w:r>
              <w:rPr>
                <w:color w:val="FF0000"/>
                <w:sz w:val="20"/>
                <w:szCs w:val="20"/>
                <w:lang w:val="ru-RU" w:eastAsia="ru-RU"/>
              </w:rPr>
              <w:t>«01» апреля 2025 г.</w:t>
            </w:r>
          </w:p>
        </w:tc>
      </w:tr>
      <w:tr>
        <w:trPr/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возбуждения дела о несостоятельности (банкротстве)</w:t>
            </w:r>
          </w:p>
        </w:tc>
        <w:tc>
          <w:tcPr>
            <w:tcW w:w="5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spacing w:before="0" w:after="0"/>
              <w:rPr>
                <w:color w:val="FF0000"/>
                <w:sz w:val="20"/>
                <w:szCs w:val="20"/>
                <w:lang w:val="ru-RU" w:eastAsia="ru-RU"/>
              </w:rPr>
            </w:pPr>
            <w:r>
              <w:rPr>
                <w:color w:val="FF0000"/>
                <w:sz w:val="20"/>
                <w:szCs w:val="20"/>
                <w:lang w:val="ru-RU" w:eastAsia="ru-RU"/>
              </w:rPr>
              <w:t>«08» апреля 2025 г.</w:t>
            </w:r>
          </w:p>
        </w:tc>
      </w:tr>
      <w:tr>
        <w:trPr/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принятия судебного акта о введении процедуры банкротства</w:t>
            </w:r>
          </w:p>
        </w:tc>
        <w:tc>
          <w:tcPr>
            <w:tcW w:w="5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spacing w:before="0" w:after="0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  <w:lang w:val="ru-RU" w:eastAsia="ru-RU"/>
              </w:rPr>
              <w:t>«05» мая 2025 г.</w:t>
            </w:r>
          </w:p>
        </w:tc>
      </w:tr>
      <w:tr>
        <w:trPr/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назначения арбитражного управляющего</w:t>
            </w:r>
          </w:p>
        </w:tc>
        <w:tc>
          <w:tcPr>
            <w:tcW w:w="5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spacing w:before="0" w:after="0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  <w:lang w:val="ru-RU" w:eastAsia="ru-RU"/>
              </w:rPr>
              <w:t>«05» мая 2025 г.</w:t>
            </w:r>
          </w:p>
        </w:tc>
      </w:tr>
    </w:tbl>
    <w:p>
      <w:pPr>
        <w:pStyle w:val="Style18"/>
        <w:spacing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autoSpaceDE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b/>
          <w:sz w:val="20"/>
          <w:szCs w:val="20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b/>
          <w:sz w:val="20"/>
          <w:szCs w:val="20"/>
          <w:lang w:eastAsia="ru-RU"/>
        </w:rPr>
        <w:t>Сведения об арбитражном управляющем</w:t>
      </w:r>
    </w:p>
    <w:p>
      <w:pPr>
        <w:pStyle w:val="Normal"/>
        <w:autoSpaceDE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b/>
          <w:sz w:val="20"/>
          <w:szCs w:val="20"/>
          <w:lang w:eastAsia="ru-RU"/>
        </w:rPr>
      </w:r>
    </w:p>
    <w:tbl>
      <w:tblPr>
        <w:tblW w:w="101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28"/>
        <w:gridCol w:w="5210"/>
      </w:tblGrid>
      <w:tr>
        <w:trPr/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Наименование саморегулируемой организации арбитражных управляющих, членом которой</w:t>
              <w:br/>
              <w:t>является арбитражный управляющий</w:t>
            </w:r>
          </w:p>
        </w:tc>
        <w:tc>
          <w:tcPr>
            <w:tcW w:w="5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ru-RU" w:eastAsia="ru-RU"/>
              </w:rPr>
              <w:t>Ассоциация Арбитражных управляющих «Содружество»</w:t>
            </w:r>
          </w:p>
        </w:tc>
      </w:tr>
      <w:tr>
        <w:trPr/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Номер и дата регистрации в едином государственном реестре саморегулируемых организаций арбитражных управляющих</w:t>
            </w:r>
          </w:p>
        </w:tc>
        <w:tc>
          <w:tcPr>
            <w:tcW w:w="5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ru-RU" w:eastAsia="ru-RU"/>
              </w:rPr>
              <w:t>№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  <w:lang w:val="ru-RU" w:eastAsia="ru-RU"/>
              </w:rPr>
              <w:t>0043 от «21» августа 2014 г.</w:t>
            </w:r>
          </w:p>
        </w:tc>
      </w:tr>
      <w:tr>
        <w:trPr/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Наименование страховой организации, с которой заключен договор о страховании ответственности арбитражного управляющего</w:t>
            </w:r>
          </w:p>
        </w:tc>
        <w:tc>
          <w:tcPr>
            <w:tcW w:w="5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АО «Д2 Страхование»</w:t>
            </w:r>
          </w:p>
        </w:tc>
      </w:tr>
      <w:tr>
        <w:trPr/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Номер договора страхования, дата его заключения и срок действия</w:t>
            </w:r>
          </w:p>
        </w:tc>
        <w:tc>
          <w:tcPr>
            <w:tcW w:w="5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Договор № </w:t>
            </w:r>
            <w:r>
              <w:rPr>
                <w:rFonts w:cs="Times New Roman" w:ascii="Times New Roman" w:hAnsi="Times New Roman"/>
                <w:color w:val="FF0000"/>
                <w:sz w:val="20"/>
                <w:szCs w:val="20"/>
                <w:lang w:val="en-US"/>
              </w:rPr>
              <w:t>Arbitr</w:t>
            </w:r>
            <w:r>
              <w:rPr>
                <w:rFonts w:cs="Times New Roman" w:ascii="Times New Roman" w:hAnsi="Times New Roman"/>
                <w:color w:val="FF0000"/>
                <w:sz w:val="20"/>
                <w:szCs w:val="20"/>
              </w:rPr>
              <w:t>-3980975400-26366 от 08.09.2022 г., срок действия с 09.09.2022 г. по 08.09.2026 г.</w:t>
            </w:r>
          </w:p>
        </w:tc>
      </w:tr>
      <w:tr>
        <w:trPr/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Адрес для направления корреспонденции арбитражному управляющему</w:t>
            </w:r>
          </w:p>
        </w:tc>
        <w:tc>
          <w:tcPr>
            <w:tcW w:w="5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195112, г Санкт-Петербург, а/я 16</w:t>
            </w:r>
          </w:p>
        </w:tc>
      </w:tr>
    </w:tbl>
    <w:p>
      <w:pPr>
        <w:pStyle w:val="Normal"/>
        <w:autoSpaceDE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</w:r>
    </w:p>
    <w:p>
      <w:pPr>
        <w:pStyle w:val="Normal"/>
        <w:autoSpaceDE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b/>
          <w:sz w:val="20"/>
          <w:szCs w:val="20"/>
          <w:lang w:eastAsia="ru-RU"/>
        </w:rPr>
        <w:t>Сведения о должнике</w:t>
      </w:r>
    </w:p>
    <w:p>
      <w:pPr>
        <w:pStyle w:val="Normal"/>
        <w:autoSpaceDE w:val="false"/>
        <w:spacing w:lineRule="auto" w:line="240" w:before="0" w:after="0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b/>
          <w:sz w:val="20"/>
          <w:szCs w:val="20"/>
          <w:lang w:eastAsia="ru-RU"/>
        </w:rPr>
      </w:r>
    </w:p>
    <w:tbl>
      <w:tblPr>
        <w:tblW w:w="101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28"/>
        <w:gridCol w:w="5210"/>
      </w:tblGrid>
      <w:tr>
        <w:trPr/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Дата рождения</w:t>
            </w:r>
          </w:p>
        </w:tc>
        <w:tc>
          <w:tcPr>
            <w:tcW w:w="5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B050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color w:val="00B050"/>
                <w:sz w:val="20"/>
                <w:szCs w:val="20"/>
              </w:rPr>
              <w:t>23.10.1982</w:t>
            </w:r>
          </w:p>
        </w:tc>
      </w:tr>
      <w:tr>
        <w:trPr/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Место рождения</w:t>
            </w:r>
          </w:p>
        </w:tc>
        <w:tc>
          <w:tcPr>
            <w:tcW w:w="5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B050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color w:val="00B050"/>
                <w:sz w:val="20"/>
                <w:szCs w:val="20"/>
                <w:lang w:val="ru-RU" w:eastAsia="ru-RU"/>
              </w:rPr>
              <w:t>гор. Ленинград</w:t>
            </w:r>
          </w:p>
        </w:tc>
      </w:tr>
      <w:tr>
        <w:trPr/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ИНН</w:t>
            </w:r>
          </w:p>
        </w:tc>
        <w:tc>
          <w:tcPr>
            <w:tcW w:w="5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B050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color w:val="00B050"/>
                <w:sz w:val="20"/>
                <w:szCs w:val="20"/>
              </w:rPr>
              <w:t>782609400697</w:t>
            </w:r>
          </w:p>
        </w:tc>
      </w:tr>
      <w:tr>
        <w:trPr/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СНИЛС</w:t>
            </w:r>
          </w:p>
        </w:tc>
        <w:tc>
          <w:tcPr>
            <w:tcW w:w="5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B050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color w:val="00B050"/>
                <w:sz w:val="20"/>
                <w:szCs w:val="20"/>
              </w:rPr>
              <w:t>141-362-038 17</w:t>
            </w:r>
          </w:p>
        </w:tc>
      </w:tr>
      <w:tr>
        <w:trPr/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Место жительства</w:t>
            </w:r>
          </w:p>
        </w:tc>
        <w:tc>
          <w:tcPr>
            <w:tcW w:w="5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B050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color w:val="00B050"/>
                <w:sz w:val="20"/>
                <w:szCs w:val="20"/>
              </w:rPr>
              <w:t>г. Санкт-Петербург, проспект Космонавтов, д. 70, кв. 48</w:t>
            </w:r>
          </w:p>
        </w:tc>
      </w:tr>
    </w:tbl>
    <w:p>
      <w:pPr>
        <w:pStyle w:val="Normal"/>
        <w:autoSpaceDE w:val="false"/>
        <w:spacing w:lineRule="auto" w:line="240" w:before="0" w:after="0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</w:r>
    </w:p>
    <w:p>
      <w:pPr>
        <w:pStyle w:val="Normal"/>
        <w:autoSpaceDE w:val="false"/>
        <w:spacing w:lineRule="auto" w:line="240" w:before="0" w:after="0"/>
        <w:ind w:firstLine="708" w:end="0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 xml:space="preserve">Проверка наличия (отсутствия) оснований для оспаривания сделок </w:t>
      </w:r>
      <w:r>
        <w:rPr>
          <w:rFonts w:eastAsia="Times New Roman" w:cs="Times New Roman" w:ascii="Times New Roman" w:hAnsi="Times New Roman"/>
          <w:sz w:val="20"/>
          <w:szCs w:val="20"/>
          <w:lang w:val="ru-RU" w:eastAsia="ru-RU"/>
        </w:rPr>
        <w:t>Тереховой Светланы Александровны</w:t>
      </w:r>
      <w:r>
        <w:rPr/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>проведена в процедуре реализации имущества гражданина финансовым управляющим</w:t>
      </w:r>
      <w:r>
        <w:rPr/>
        <w:t xml:space="preserve"> </w:t>
      </w:r>
      <w:r>
        <w:rPr>
          <w:rFonts w:cs="Times New Roman" w:ascii="Times New Roman" w:hAnsi="Times New Roman"/>
          <w:bCs/>
          <w:sz w:val="20"/>
          <w:szCs w:val="20"/>
          <w:lang w:val="ru-RU" w:eastAsia="ru-RU"/>
        </w:rPr>
        <w:t>Федорцом Василием Владимировичем</w:t>
      </w: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>.</w:t>
      </w:r>
    </w:p>
    <w:p>
      <w:pPr>
        <w:pStyle w:val="Normal"/>
        <w:autoSpaceDE w:val="false"/>
        <w:spacing w:lineRule="auto" w:line="240" w:before="0" w:after="0"/>
        <w:ind w:firstLine="708" w:end="0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>Проверка наличия (отсутствия) оснований для оспаривания сделок проведена в процедуре реализации имущества гражданина финансовым управляющим на основании полученных ответов уполномоченных органов.</w:t>
      </w:r>
    </w:p>
    <w:p>
      <w:pPr>
        <w:pStyle w:val="Normal"/>
        <w:autoSpaceDE w:val="false"/>
        <w:spacing w:lineRule="auto" w:line="240" w:before="0" w:after="0"/>
        <w:ind w:firstLine="708" w:end="0"/>
        <w:jc w:val="both"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>Сделки, совершенные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ru-RU"/>
        </w:rPr>
        <w:t xml:space="preserve"> должником или другими лицами за счет должника, могут быть признаны недействительными в соответствии с Гражданским кодексом Российской Федерации, а также по основаниям и в порядке, которые указаны в Федеральном законе от 26.10.2002 № 127-ФЗ «О несостоятельности (банкротстве)».</w:t>
      </w:r>
    </w:p>
    <w:p>
      <w:pPr>
        <w:pStyle w:val="Normal"/>
        <w:autoSpaceDE w:val="false"/>
        <w:spacing w:lineRule="auto" w:line="240" w:before="0" w:after="0"/>
        <w:ind w:firstLine="708" w:end="0"/>
        <w:jc w:val="both"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ru-RU"/>
        </w:rPr>
        <w:t xml:space="preserve">В целях составления настоящего заключения были проанализированы условия исполнения сделок, заключенных должником в период с </w:t>
      </w:r>
      <w:r>
        <w:rPr>
          <w:rFonts w:eastAsia="Times New Roman" w:cs="Times New Roman" w:ascii="Times New Roman" w:hAnsi="Times New Roman"/>
          <w:color w:val="FF0000"/>
          <w:sz w:val="20"/>
          <w:szCs w:val="20"/>
          <w:lang w:val="ru-RU" w:eastAsia="ru-RU"/>
        </w:rPr>
        <w:t>«01» апреля 2022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val="ru-RU" w:eastAsia="ru-RU"/>
        </w:rPr>
        <w:t xml:space="preserve"> г.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ru-RU"/>
        </w:rPr>
        <w:t xml:space="preserve"> по </w:t>
      </w:r>
      <w:r>
        <w:rPr>
          <w:rFonts w:eastAsia="Times New Roman" w:cs="Times New Roman" w:ascii="Times New Roman" w:hAnsi="Times New Roman"/>
          <w:color w:val="FF0000"/>
          <w:sz w:val="20"/>
          <w:szCs w:val="20"/>
          <w:lang w:val="ru-RU" w:eastAsia="ru-RU"/>
        </w:rPr>
        <w:t>«05» мая 2025 г.</w:t>
      </w:r>
    </w:p>
    <w:p>
      <w:pPr>
        <w:pStyle w:val="Normal"/>
        <w:autoSpaceDE w:val="false"/>
        <w:spacing w:lineRule="auto" w:line="240" w:before="0" w:after="0"/>
        <w:ind w:firstLine="708" w:end="0"/>
        <w:jc w:val="both"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bookmarkStart w:id="0" w:name="_GoBack"/>
      <w:bookmarkEnd w:id="0"/>
      <w:r>
        <w:rPr>
          <w:rFonts w:eastAsia="Times New Roman" w:cs="Times New Roman" w:ascii="Times New Roman" w:hAnsi="Times New Roman"/>
          <w:bCs/>
          <w:color w:val="000000"/>
          <w:sz w:val="20"/>
          <w:szCs w:val="20"/>
          <w:lang w:eastAsia="ru-RU"/>
        </w:rPr>
        <w:t>В результате проведенной проверки сделок за анализируемый период, оспоримые сделки выявлены не были.</w:t>
      </w:r>
    </w:p>
    <w:p>
      <w:pPr>
        <w:pStyle w:val="Normal"/>
        <w:autoSpaceDE w:val="false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ru-RU"/>
        </w:rPr>
      </w:r>
    </w:p>
    <w:tbl>
      <w:tblPr>
        <w:tblW w:w="99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56"/>
        <w:gridCol w:w="4956"/>
      </w:tblGrid>
      <w:tr>
        <w:trPr>
          <w:trHeight w:val="780" w:hRule="atLeast"/>
        </w:trPr>
        <w:tc>
          <w:tcPr>
            <w:tcW w:w="4956" w:type="dxa"/>
            <w:tcBorders/>
          </w:tcPr>
          <w:p>
            <w:pPr>
              <w:pStyle w:val="Normal"/>
              <w:autoSpaceDE w:val="false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  <w:lang w:eastAsia="ru-RU"/>
              </w:rPr>
            </w:r>
          </w:p>
          <w:p>
            <w:pPr>
              <w:pStyle w:val="Normal"/>
              <w:autoSpaceDE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  <w:lang w:eastAsia="ru-RU"/>
              </w:rPr>
            </w:r>
          </w:p>
          <w:p>
            <w:pPr>
              <w:pStyle w:val="Normal"/>
              <w:autoSpaceDE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  <w:lang w:eastAsia="ru-RU"/>
              </w:rPr>
              <w:t>Финансовый управляющий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0B050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b/>
                <w:color w:val="00B050"/>
                <w:sz w:val="20"/>
                <w:szCs w:val="20"/>
                <w:lang w:val="ru-RU" w:eastAsia="ru-RU"/>
              </w:rPr>
              <w:t>Тереховой Светланы Александровны</w:t>
            </w:r>
          </w:p>
        </w:tc>
        <w:tc>
          <w:tcPr>
            <w:tcW w:w="4956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Cs/>
                <w:color w:val="00B050"/>
                <w:sz w:val="20"/>
                <w:szCs w:val="20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  <w:drawing>
                <wp:inline distT="0" distB="0" distL="0" distR="0">
                  <wp:extent cx="910590" cy="34988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45" t="-118" r="-45" b="-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0590" cy="3498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  <w:t xml:space="preserve">     </w:t>
            </w: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Ф</w:t>
            </w: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ед</w:t>
            </w: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</w:rPr>
              <w:t>орец Василий Владимирович</w:t>
            </w:r>
          </w:p>
        </w:tc>
      </w:tr>
    </w:tbl>
    <w:p>
      <w:pPr>
        <w:pStyle w:val="Normal"/>
        <w:spacing w:before="0" w:after="16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sectPr>
      <w:footerReference w:type="default" r:id="rId3"/>
      <w:type w:val="nextPage"/>
      <w:pgSz w:w="11906" w:h="16838"/>
      <w:pgMar w:left="1134" w:right="851" w:gutter="0" w:header="0" w:top="851" w:footer="567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cc"/>
    <w:family w:val="swiss"/>
    <w:pitch w:val="variable"/>
  </w:font>
  <w:font w:name="Segoe UI">
    <w:charset w:val="cc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jc w:val="cen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57" w:before="0" w:after="160"/>
    </w:pPr>
    <w:rPr>
      <w:rFonts w:ascii="Calibri" w:hAnsi="Calibri" w:eastAsia="Calibri" w:cs="Times New Roman"/>
      <w:color w:val="auto"/>
      <w:sz w:val="22"/>
      <w:szCs w:val="22"/>
      <w:lang w:bidi="ar-SA" w:val="ru-RU" w:eastAsia="zh-CN"/>
    </w:rPr>
  </w:style>
  <w:style w:type="character" w:styleId="Style14">
    <w:name w:val="Основной шрифт абзаца"/>
    <w:rPr/>
  </w:style>
  <w:style w:type="character" w:styleId="Style15">
    <w:name w:val="Верхний колонтитул Знак"/>
    <w:basedOn w:val="Style14"/>
    <w:rPr/>
  </w:style>
  <w:style w:type="character" w:styleId="Style16">
    <w:name w:val="Нижний колонтитул Знак"/>
    <w:basedOn w:val="Style14"/>
    <w:rPr/>
  </w:style>
  <w:style w:type="character" w:styleId="Style17">
    <w:name w:val="Текст выноски Знак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Style18">
    <w:name w:val="Обычный (веб)"/>
    <w:basedOn w:val="Normal"/>
    <w:pPr>
      <w:spacing w:lineRule="auto" w:line="240" w:before="240" w:after="240"/>
    </w:pPr>
    <w:rPr>
      <w:rFonts w:ascii="Times New Roman" w:hAnsi="Times New Roman" w:eastAsia="Times New Roman" w:cs="Times New Roman"/>
      <w:sz w:val="24"/>
      <w:szCs w:val="24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19">
    <w:name w:val="Текст выноски"/>
    <w:basedOn w:val="Normal"/>
    <w:pPr>
      <w:spacing w:lineRule="auto" w:line="240" w:before="0" w:after="0"/>
    </w:pPr>
    <w:rPr>
      <w:rFonts w:ascii="Segoe UI" w:hAnsi="Segoe UI" w:cs="Segoe UI"/>
      <w:sz w:val="18"/>
      <w:szCs w:val="18"/>
      <w:lang w:val="ru-RU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2019-03-13T18:52:00Z</dcterms:created>
  <dc:creator>Natasha</dc:creator>
  <dc:description/>
  <cp:keywords/>
  <dc:language>ru-RU</dc:language>
  <cp:lastModifiedBy>Рустам</cp:lastModifiedBy>
  <dcterms:modified xsi:type="dcterms:W3CDTF">2026-09-04T12:49:00Z</dcterms:modified>
  <cp:revision>70</cp:revision>
  <dc:subject/>
  <dc:title/>
</cp:coreProperties>
</file>