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ru-RU"/>
        </w:rPr>
        <w:t>ЗАКЛЮЧЕНИЕ</w:t>
      </w:r>
    </w:p>
    <w:p>
      <w:pPr>
        <w:pStyle w:val="Normal"/>
        <w:autoSpaceDE w:val="false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ru-RU"/>
        </w:rPr>
        <w:t>о наличии (отсутствии) признаков фиктивного или преднамеренного банкротства</w:t>
      </w:r>
    </w:p>
    <w:tbl>
      <w:tblPr>
        <w:tblW w:w="9923" w:type="dxa"/>
        <w:jc w:val="start"/>
        <w:tblInd w:w="-28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56"/>
        <w:gridCol w:w="5667"/>
      </w:tblGrid>
      <w:tr>
        <w:trPr/>
        <w:tc>
          <w:tcPr>
            <w:tcW w:w="4256" w:type="dxa"/>
            <w:tcBorders/>
          </w:tcPr>
          <w:p>
            <w:pPr>
              <w:pStyle w:val="Normal"/>
              <w:autoSpaceDE w:val="false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 xml:space="preserve">Дата: </w:t>
            </w:r>
            <w:r>
              <w:rPr>
                <w:rFonts w:eastAsia="Times New Roman" w:cs="Times New Roman" w:ascii="Times New Roman" w:hAnsi="Times New Roman"/>
                <w:color w:val="FF0000"/>
                <w:sz w:val="20"/>
                <w:szCs w:val="20"/>
                <w:lang w:val="ru-RU" w:eastAsia="ru-RU"/>
              </w:rPr>
              <w:t>«20» ноября 2025 г.</w:t>
            </w:r>
          </w:p>
        </w:tc>
        <w:tc>
          <w:tcPr>
            <w:tcW w:w="5667" w:type="dxa"/>
            <w:tcBorders/>
          </w:tcPr>
          <w:p>
            <w:pPr>
              <w:pStyle w:val="Normal"/>
              <w:autoSpaceDE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 xml:space="preserve">                                        </w:t>
            </w:r>
          </w:p>
          <w:p>
            <w:pPr>
              <w:pStyle w:val="Normal"/>
              <w:autoSpaceDE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 xml:space="preserve">                                         </w:t>
            </w: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 xml:space="preserve">Место составления: </w:t>
            </w:r>
            <w:r>
              <w:rPr>
                <w:rFonts w:eastAsia="Times New Roman" w:cs="Times New Roman" w:ascii="Times New Roman" w:hAnsi="Times New Roman"/>
                <w:sz w:val="20"/>
                <w:szCs w:val="20"/>
                <w:lang w:val="ru-RU" w:eastAsia="ru-RU"/>
              </w:rPr>
              <w:t>г. Санкт-Петербург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782" w:type="dxa"/>
        <w:jc w:val="start"/>
        <w:tblInd w:w="-214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678"/>
        <w:gridCol w:w="5104"/>
      </w:tblGrid>
      <w:tr>
        <w:trPr>
          <w:trHeight w:val="23" w:hRule="atLeast"/>
        </w:trPr>
        <w:tc>
          <w:tcPr>
            <w:tcW w:w="4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Наименование арбитражного суда, в производстве которого находится дело о банкротстве</w:t>
            </w:r>
          </w:p>
        </w:tc>
        <w:tc>
          <w:tcPr>
            <w:tcW w:w="5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ru-RU" w:eastAsia="ru-RU"/>
              </w:rPr>
              <w:t xml:space="preserve">Арбитражный суд </w:t>
            </w:r>
            <w:r>
              <w:rPr>
                <w:rFonts w:eastAsia="Times New Roman" w:cs="Times New Roman" w:ascii="Times New Roman" w:hAnsi="Times New Roman"/>
                <w:color w:val="00B050"/>
                <w:sz w:val="20"/>
                <w:szCs w:val="20"/>
                <w:lang w:val="ru-RU" w:eastAsia="ru-RU"/>
              </w:rPr>
              <w:t>города Санкт-Петербурга и Ленинградской области</w:t>
            </w:r>
          </w:p>
        </w:tc>
      </w:tr>
      <w:tr>
        <w:trPr>
          <w:trHeight w:val="23" w:hRule="atLeast"/>
        </w:trPr>
        <w:tc>
          <w:tcPr>
            <w:tcW w:w="4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Номер дела</w:t>
            </w:r>
          </w:p>
        </w:tc>
        <w:tc>
          <w:tcPr>
            <w:tcW w:w="5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B05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B050"/>
                <w:sz w:val="20"/>
                <w:szCs w:val="20"/>
                <w:lang w:val="ru-RU" w:eastAsia="ru-RU"/>
              </w:rPr>
              <w:t>А56-36284/2025</w:t>
            </w:r>
          </w:p>
        </w:tc>
      </w:tr>
      <w:tr>
        <w:trPr>
          <w:trHeight w:val="23" w:hRule="atLeast"/>
        </w:trPr>
        <w:tc>
          <w:tcPr>
            <w:tcW w:w="4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Дата принятия судебного акта о введении процедуры банкротства</w:t>
            </w:r>
          </w:p>
        </w:tc>
        <w:tc>
          <w:tcPr>
            <w:tcW w:w="5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20"/>
                <w:szCs w:val="20"/>
                <w:lang w:val="ru-RU" w:eastAsia="ru-RU"/>
              </w:rPr>
              <w:t>«02» июля 2025 г.</w:t>
            </w:r>
          </w:p>
        </w:tc>
      </w:tr>
      <w:tr>
        <w:trPr>
          <w:trHeight w:val="23" w:hRule="atLeast"/>
        </w:trPr>
        <w:tc>
          <w:tcPr>
            <w:tcW w:w="4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Дата принятия судебного акта об утверждении арбитражного управляющего</w:t>
            </w:r>
          </w:p>
        </w:tc>
        <w:tc>
          <w:tcPr>
            <w:tcW w:w="5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20"/>
                <w:szCs w:val="20"/>
                <w:lang w:val="ru-RU" w:eastAsia="ru-RU"/>
              </w:rPr>
              <w:t>«02» июля 2025 г.</w:t>
            </w:r>
          </w:p>
        </w:tc>
      </w:tr>
    </w:tbl>
    <w:p>
      <w:pPr>
        <w:pStyle w:val="Normal"/>
        <w:spacing w:before="120" w:after="12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/>
        <w:t>Сведения об арбитражном управляющем</w:t>
      </w:r>
    </w:p>
    <w:tbl>
      <w:tblPr>
        <w:tblW w:w="5200" w:type="pct"/>
        <w:jc w:val="start"/>
        <w:tblInd w:w="-307" w:type="dxa"/>
        <w:tblLayout w:type="fixed"/>
        <w:tblCellMar>
          <w:top w:w="45" w:type="dxa"/>
          <w:start w:w="45" w:type="dxa"/>
          <w:bottom w:w="45" w:type="dxa"/>
          <w:end w:w="45" w:type="dxa"/>
        </w:tblCellMar>
      </w:tblPr>
      <w:tblGrid>
        <w:gridCol w:w="4654"/>
        <w:gridCol w:w="5075"/>
      </w:tblGrid>
      <w:tr>
        <w:trPr/>
        <w:tc>
          <w:tcPr>
            <w:tcW w:w="465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Наименование саморегулируемой организации арбитражных управляющих, членом которой является арбитражный управляющий</w:t>
            </w:r>
          </w:p>
        </w:tc>
        <w:tc>
          <w:tcPr>
            <w:tcW w:w="50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ru-RU" w:eastAsia="ru-RU"/>
              </w:rPr>
              <w:t>Ассоциация Арбитражных управляющих «Содружество»</w:t>
            </w:r>
          </w:p>
        </w:tc>
      </w:tr>
      <w:tr>
        <w:trPr/>
        <w:tc>
          <w:tcPr>
            <w:tcW w:w="465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Номер и дата регистрации в едином государственном реестре саморегулируемых организаций арбитражных управляющих</w:t>
            </w:r>
          </w:p>
        </w:tc>
        <w:tc>
          <w:tcPr>
            <w:tcW w:w="50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ru-RU" w:eastAsia="ru-RU"/>
              </w:rPr>
              <w:t>0043, 21.08.2014 г.</w:t>
            </w:r>
          </w:p>
        </w:tc>
      </w:tr>
      <w:tr>
        <w:trPr/>
        <w:tc>
          <w:tcPr>
            <w:tcW w:w="465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Наименование страховой организации, с которой заключен договор о страховании ответственности арбитражного управляющего</w:t>
            </w:r>
          </w:p>
        </w:tc>
        <w:tc>
          <w:tcPr>
            <w:tcW w:w="50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АО «Д2 Страхование»</w:t>
            </w:r>
          </w:p>
        </w:tc>
      </w:tr>
      <w:tr>
        <w:trPr/>
        <w:tc>
          <w:tcPr>
            <w:tcW w:w="465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Номер договора страхования, дата его заключения и срок действия</w:t>
            </w:r>
          </w:p>
        </w:tc>
        <w:tc>
          <w:tcPr>
            <w:tcW w:w="50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Договор № </w:t>
            </w:r>
            <w:r>
              <w:rPr>
                <w:rFonts w:cs="Times New Roman" w:ascii="Times New Roman" w:hAnsi="Times New Roman"/>
                <w:color w:val="FF0000"/>
                <w:sz w:val="20"/>
                <w:szCs w:val="20"/>
                <w:lang w:val="en-US"/>
              </w:rPr>
              <w:t>Arbitr</w:t>
            </w:r>
            <w:r>
              <w:rPr>
                <w:rFonts w:cs="Times New Roman" w:ascii="Times New Roman" w:hAnsi="Times New Roman"/>
                <w:color w:val="FF0000"/>
                <w:sz w:val="20"/>
                <w:szCs w:val="20"/>
              </w:rPr>
              <w:t>-3980975400-26366 от 08.09.2022 г., срок действия с 09.09.2022 г. по 08.09.2026 г.</w:t>
            </w:r>
          </w:p>
        </w:tc>
      </w:tr>
      <w:tr>
        <w:trPr/>
        <w:tc>
          <w:tcPr>
            <w:tcW w:w="465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Адрес для направления корреспонденции арбитражному управляющему</w:t>
            </w:r>
          </w:p>
        </w:tc>
        <w:tc>
          <w:tcPr>
            <w:tcW w:w="50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195112, г Санкт-Петербург, а/я 16</w:t>
            </w:r>
          </w:p>
        </w:tc>
      </w:tr>
    </w:tbl>
    <w:p>
      <w:pPr>
        <w:pStyle w:val="Normal"/>
        <w:spacing w:before="120" w:after="12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/>
        <w:t>Сведения о должнике</w:t>
      </w:r>
    </w:p>
    <w:tbl>
      <w:tblPr>
        <w:tblW w:w="9640" w:type="dxa"/>
        <w:jc w:val="start"/>
        <w:tblInd w:w="-14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50"/>
        <w:gridCol w:w="4990"/>
      </w:tblGrid>
      <w:tr>
        <w:trPr/>
        <w:tc>
          <w:tcPr>
            <w:tcW w:w="4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Ф.И.О. </w:t>
            </w:r>
          </w:p>
        </w:tc>
        <w:tc>
          <w:tcPr>
            <w:tcW w:w="4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B050"/>
                <w:sz w:val="20"/>
                <w:szCs w:val="20"/>
                <w:lang w:val="ru-RU" w:eastAsia="ru-RU"/>
              </w:rPr>
              <w:t>Плеханова Анна Алексеевна</w:t>
            </w:r>
          </w:p>
        </w:tc>
      </w:tr>
      <w:tr>
        <w:trPr/>
        <w:tc>
          <w:tcPr>
            <w:tcW w:w="4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Дата рождения </w:t>
            </w:r>
          </w:p>
        </w:tc>
        <w:tc>
          <w:tcPr>
            <w:tcW w:w="4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B050"/>
                <w:sz w:val="20"/>
              </w:rPr>
              <w:t>16.06.1975</w:t>
            </w:r>
          </w:p>
        </w:tc>
      </w:tr>
      <w:tr>
        <w:trPr/>
        <w:tc>
          <w:tcPr>
            <w:tcW w:w="4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Место рождения</w:t>
            </w:r>
          </w:p>
        </w:tc>
        <w:tc>
          <w:tcPr>
            <w:tcW w:w="4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B050"/>
                <w:sz w:val="20"/>
              </w:rPr>
              <w:t>г. Мурманск</w:t>
            </w:r>
          </w:p>
        </w:tc>
      </w:tr>
      <w:tr>
        <w:trPr/>
        <w:tc>
          <w:tcPr>
            <w:tcW w:w="4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ИНН </w:t>
            </w:r>
          </w:p>
        </w:tc>
        <w:tc>
          <w:tcPr>
            <w:tcW w:w="4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B050"/>
                <w:sz w:val="20"/>
              </w:rPr>
              <w:t>519300468029</w:t>
            </w:r>
          </w:p>
        </w:tc>
      </w:tr>
      <w:tr>
        <w:trPr/>
        <w:tc>
          <w:tcPr>
            <w:tcW w:w="4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СНИЛС </w:t>
            </w:r>
          </w:p>
        </w:tc>
        <w:tc>
          <w:tcPr>
            <w:tcW w:w="4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B050"/>
                <w:sz w:val="20"/>
              </w:rPr>
              <w:t>129-305-890 67</w:t>
            </w:r>
          </w:p>
        </w:tc>
      </w:tr>
      <w:tr>
        <w:trPr/>
        <w:tc>
          <w:tcPr>
            <w:tcW w:w="4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Место жительства</w:t>
            </w:r>
          </w:p>
        </w:tc>
        <w:tc>
          <w:tcPr>
            <w:tcW w:w="4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B050"/>
                <w:sz w:val="20"/>
              </w:rPr>
            </w:pPr>
            <w:bookmarkStart w:id="0" w:name="_GoBack"/>
            <w:bookmarkEnd w:id="0"/>
            <w:r>
              <w:rPr>
                <w:rFonts w:cs="Times New Roman" w:ascii="Times New Roman" w:hAnsi="Times New Roman"/>
                <w:color w:val="00B050"/>
                <w:sz w:val="20"/>
              </w:rPr>
              <w:t xml:space="preserve">Ленинградская обл., Всеволожский р-н, д. Куйвози,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B050"/>
                <w:sz w:val="20"/>
              </w:rPr>
              <w:t>ул. Мира, д. 23/23-А, ч. №23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20"/>
          <w:szCs w:val="20"/>
        </w:rPr>
      </w:r>
    </w:p>
    <w:p>
      <w:pPr>
        <w:pStyle w:val="Style19"/>
        <w:numPr>
          <w:ilvl w:val="0"/>
          <w:numId w:val="1"/>
        </w:numPr>
        <w:spacing w:before="0" w:after="60"/>
        <w:ind w:hanging="0" w:start="0" w:end="0"/>
        <w:contextualSpacing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20"/>
          <w:szCs w:val="20"/>
        </w:rPr>
        <w:t>Основания и регламент проведения проверки наличия признаков фиктивного и преднамеренного банкротства.</w:t>
      </w:r>
    </w:p>
    <w:p>
      <w:pPr>
        <w:pStyle w:val="Style19"/>
        <w:spacing w:before="60" w:after="160"/>
        <w:ind w:firstLine="709" w:start="0" w:end="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Проверка наличия (отсутствия) признаков фиктивного и преднамеренного банкротства </w:t>
      </w:r>
      <w:r>
        <w:rPr>
          <w:rFonts w:cs="Times New Roman" w:ascii="Times New Roman" w:hAnsi="Times New Roman"/>
          <w:color w:val="00B050"/>
          <w:sz w:val="20"/>
          <w:szCs w:val="20"/>
          <w:lang w:val="ru-RU" w:eastAsia="ru-RU"/>
        </w:rPr>
        <w:t>Плехановой Анны Алексеевны</w:t>
      </w:r>
      <w:r>
        <w:rPr>
          <w:rFonts w:cs="Times New Roman" w:ascii="Times New Roman" w:hAnsi="Times New Roman"/>
          <w:sz w:val="20"/>
          <w:szCs w:val="20"/>
          <w:lang w:val="ru-RU" w:eastAsia="ru-RU"/>
        </w:rPr>
        <w:t xml:space="preserve"> </w:t>
      </w:r>
      <w:r>
        <w:rPr>
          <w:rFonts w:cs="Times New Roman" w:ascii="Times New Roman" w:hAnsi="Times New Roman"/>
          <w:sz w:val="20"/>
          <w:szCs w:val="20"/>
        </w:rPr>
        <w:t xml:space="preserve">проведена в процедуре реализации имущества гражданина финансовым управляющим </w:t>
      </w:r>
      <w:r>
        <w:rPr>
          <w:rFonts w:cs="Times New Roman" w:ascii="Times New Roman" w:hAnsi="Times New Roman"/>
          <w:sz w:val="20"/>
          <w:szCs w:val="20"/>
          <w:lang w:val="ru-RU" w:eastAsia="ru-RU"/>
        </w:rPr>
        <w:t>Федорцом Василием Владимировичем</w:t>
      </w:r>
      <w:r>
        <w:rPr>
          <w:rFonts w:cs="Times New Roman" w:ascii="Times New Roman" w:hAnsi="Times New Roman"/>
          <w:sz w:val="20"/>
          <w:szCs w:val="20"/>
        </w:rPr>
        <w:t>.</w:t>
      </w:r>
    </w:p>
    <w:p>
      <w:pPr>
        <w:pStyle w:val="Style19"/>
        <w:ind w:firstLine="709" w:start="0" w:end="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Исследуемый период: с «01» января </w:t>
      </w:r>
      <w:r>
        <w:rPr>
          <w:rFonts w:cs="Times New Roman" w:ascii="Times New Roman" w:hAnsi="Times New Roman"/>
          <w:sz w:val="20"/>
          <w:szCs w:val="20"/>
          <w:lang w:val="ru-RU" w:eastAsia="ru-RU"/>
        </w:rPr>
        <w:t>2020 г.</w:t>
      </w:r>
      <w:r>
        <w:rPr>
          <w:rFonts w:cs="Times New Roman" w:ascii="Times New Roman" w:hAnsi="Times New Roman"/>
          <w:sz w:val="20"/>
          <w:szCs w:val="20"/>
        </w:rPr>
        <w:t xml:space="preserve"> по </w:t>
      </w:r>
      <w:r>
        <w:rPr>
          <w:rFonts w:cs="Times New Roman" w:ascii="Times New Roman" w:hAnsi="Times New Roman"/>
          <w:color w:val="FF0000"/>
          <w:sz w:val="20"/>
          <w:szCs w:val="20"/>
          <w:lang w:val="ru-RU" w:eastAsia="ru-RU"/>
        </w:rPr>
        <w:t>«20» ноября 2025 г.</w:t>
      </w:r>
    </w:p>
    <w:p>
      <w:pPr>
        <w:pStyle w:val="Style19"/>
        <w:ind w:firstLine="709" w:start="0" w:end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Заключение о наличии (отсутствии) признаков фиктивного и преднамеренного банкротства </w:t>
      </w:r>
      <w:r>
        <w:rPr>
          <w:rFonts w:cs="Times New Roman" w:ascii="Times New Roman" w:hAnsi="Times New Roman"/>
          <w:sz w:val="20"/>
          <w:szCs w:val="20"/>
          <w:lang w:val="ru-RU" w:eastAsia="ru-RU"/>
        </w:rPr>
        <w:t>Плехановой Анны Алексеевны</w:t>
      </w:r>
      <w:r>
        <w:rPr>
          <w:rFonts w:cs="Times New Roman" w:ascii="Times New Roman" w:hAnsi="Times New Roman"/>
          <w:sz w:val="20"/>
          <w:szCs w:val="20"/>
        </w:rPr>
        <w:t xml:space="preserve"> подготовлено в соответствии с Временными правилами проверки арбитражными управляющими наличия признаков фиктивного и преднамеренного банкротства, утвержденными постановлением Правительства Российской Федерации от 27 декабря 2004 г. № 855 (далее по тексту - Временные правила). </w:t>
      </w:r>
    </w:p>
    <w:p>
      <w:pPr>
        <w:pStyle w:val="Style19"/>
        <w:ind w:firstLine="709" w:start="0" w:end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Выявление признаков фиктивного и преднамеренного банкротства основывается на изучении следующих документов и материалов:</w:t>
      </w:r>
    </w:p>
    <w:p>
      <w:pPr>
        <w:pStyle w:val="Style19"/>
        <w:ind w:firstLine="709" w:start="0" w:end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- договоры, на основании которых производилось отчуждение или приобретение имущества должника;</w:t>
      </w:r>
    </w:p>
    <w:p>
      <w:pPr>
        <w:pStyle w:val="Style19"/>
        <w:ind w:firstLine="709" w:start="0" w:end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- документы, подтверждающие направление запроса на предоставление необходимой информации финансовым управляющим в государственные регистрирующие органы;</w:t>
      </w:r>
    </w:p>
    <w:p>
      <w:pPr>
        <w:pStyle w:val="Style19"/>
        <w:ind w:firstLine="709" w:start="0" w:end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- справки о задолженности перед бюджетами всех уровней и внебюджетными фондами с указанием раздельно размеров основной задолженности, штрафов, пеней и иных финансовых (экономических) санкций на дату подачи заявления о признании должника несостоятельным (банкротом) и на последнюю отчетную дату, предшествующую дате проведения проверки;</w:t>
      </w:r>
    </w:p>
    <w:p>
      <w:pPr>
        <w:pStyle w:val="Style19"/>
        <w:ind w:firstLine="709" w:start="0" w:end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- перечень имущества должника на дату подачи заявления о признании должника несостоятельным (банкротом), а также перечень имущества должника, приобретенного или отчужденного в исследуемый период;</w:t>
      </w:r>
    </w:p>
    <w:p>
      <w:pPr>
        <w:pStyle w:val="Style19"/>
        <w:ind w:firstLine="709" w:start="0" w:end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- иные материалы и сведения.</w:t>
      </w:r>
    </w:p>
    <w:p>
      <w:pPr>
        <w:pStyle w:val="Style19"/>
        <w:ind w:firstLine="709" w:end="0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Style19"/>
        <w:numPr>
          <w:ilvl w:val="0"/>
          <w:numId w:val="1"/>
        </w:numPr>
        <w:spacing w:lineRule="auto" w:line="240" w:before="120" w:after="120"/>
        <w:ind w:hanging="0" w:start="0" w:end="0"/>
        <w:contextualSpacing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cs="Times New Roman" w:ascii="Times New Roman" w:hAnsi="Times New Roman"/>
          <w:b/>
          <w:sz w:val="20"/>
          <w:szCs w:val="20"/>
        </w:rPr>
        <w:t>Выявление признаков преднамеренного банкротства</w:t>
      </w:r>
    </w:p>
    <w:p>
      <w:pPr>
        <w:pStyle w:val="Style19"/>
        <w:spacing w:lineRule="auto" w:line="240" w:before="120" w:after="120"/>
        <w:ind w:start="0" w:end="0"/>
        <w:contextualSpacing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</w:r>
    </w:p>
    <w:p>
      <w:pPr>
        <w:pStyle w:val="Style19"/>
        <w:spacing w:lineRule="auto" w:line="240" w:before="0" w:after="120"/>
        <w:ind w:start="0" w:end="0"/>
        <w:contextualSpacing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  <w:t>В соответствии с пунктом 6 Временных правил, выявление признаков преднамеренного банкротства осуществляется в два этапа.</w:t>
      </w:r>
    </w:p>
    <w:p>
      <w:pPr>
        <w:pStyle w:val="Normal"/>
        <w:spacing w:lineRule="auto" w:line="240" w:before="120" w:after="120"/>
        <w:jc w:val="both"/>
        <w:rPr>
          <w:rFonts w:ascii="Times New Roman" w:hAnsi="Times New Roman" w:eastAsia="Times New Roman" w:cs="Times New Roman"/>
          <w:b/>
          <w:bCs/>
          <w:i/>
          <w:iCs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0"/>
          <w:szCs w:val="20"/>
          <w:lang w:eastAsia="ru-RU"/>
        </w:rPr>
        <w:t>2.1. Первый этап: анализ коэффициентов, характеризующих платежеспособность должника.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  <w:t>Ввиду отсутствия данных для анализа и сравнения (должник является физическим лицом) проведение анализа коэффициентов, характеризующих платежеспособность должника, не представляется возможным.</w:t>
      </w:r>
    </w:p>
    <w:p>
      <w:pPr>
        <w:pStyle w:val="Normal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0"/>
          <w:szCs w:val="20"/>
          <w:lang w:eastAsia="ru-RU"/>
        </w:rPr>
        <w:t>2.2. Второй этап: анализ сделок должника.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  <w:t xml:space="preserve">В соответствии с требованиями пункта 8 Временных правил анализ сделок </w:t>
      </w:r>
      <w:r>
        <w:rPr>
          <w:rFonts w:eastAsia="Times New Roman" w:cs="Times New Roman" w:ascii="Times New Roman" w:hAnsi="Times New Roman"/>
          <w:color w:val="00B050"/>
          <w:sz w:val="20"/>
          <w:szCs w:val="20"/>
          <w:lang w:val="ru-RU" w:eastAsia="ru-RU"/>
        </w:rPr>
        <w:t>Плехановой Анны Алексеевны</w:t>
      </w:r>
      <w:r>
        <w:rPr>
          <w:rFonts w:eastAsia="Times New Roman" w:cs="Times New Roman" w:ascii="Times New Roman" w:hAnsi="Times New Roman"/>
          <w:sz w:val="20"/>
          <w:szCs w:val="20"/>
          <w:lang w:eastAsia="ru-RU"/>
        </w:rPr>
        <w:t xml:space="preserve"> проводится с целью установления соответствия сделок и действий (бездействия) </w:t>
      </w:r>
      <w:r>
        <w:rPr>
          <w:rFonts w:eastAsia="Times New Roman" w:cs="Times New Roman" w:ascii="Times New Roman" w:hAnsi="Times New Roman"/>
          <w:sz w:val="20"/>
          <w:szCs w:val="20"/>
          <w:lang w:val="ru-RU" w:eastAsia="ru-RU"/>
        </w:rPr>
        <w:t xml:space="preserve">должника </w:t>
      </w:r>
      <w:r>
        <w:rPr>
          <w:rFonts w:eastAsia="Times New Roman" w:cs="Times New Roman" w:ascii="Times New Roman" w:hAnsi="Times New Roman"/>
          <w:sz w:val="20"/>
          <w:szCs w:val="20"/>
          <w:lang w:eastAsia="ru-RU"/>
        </w:rPr>
        <w:t xml:space="preserve">законодательству Российской Федерации, а также в целях выявления сделок, заключенных или исполненных на условиях, не соответствующих рыночным условиям, что послужило причиной возникновения или увеличения неплатежеспособности </w:t>
      </w:r>
      <w:r>
        <w:rPr>
          <w:rFonts w:eastAsia="Times New Roman" w:cs="Times New Roman" w:ascii="Times New Roman" w:hAnsi="Times New Roman"/>
          <w:sz w:val="20"/>
          <w:szCs w:val="20"/>
          <w:lang w:val="ru-RU" w:eastAsia="ru-RU"/>
        </w:rPr>
        <w:t>должника.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В соответствии с пунктом 9 Временных правил к сделкам, заключенным на условиях, не соответствующих рыночным условиям, относятся: 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- сделки по отчуждению имущества должника, не являющиеся сделками купли-продажи, направленные на замещение имущества должника менее ликвидным;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- сделки купли-продажи, осуществляемые с имуществом должника, заключенные на заведомо невыгодных для должника условиях, а также осуществляемые с имуществом, без которого невозможна основная деятельность должника;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- сделки, связанные с возникновением обязательств должника, не обеспеченные имуществом, а также влекущие за собой приобретение неликвидного имущества;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- сделки по замене одних обязательств другими, заключенные на заведомо невыгодных условиях.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Заведомо невыгодные условия сделки, заключенной должником, могут касаться, в частности, цены имущества, работ и услуг, вида и срока платежа по сделке.</w:t>
      </w:r>
    </w:p>
    <w:p>
      <w:pPr>
        <w:pStyle w:val="Style23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>На основании анализа сделок Должника, за анализируемый период не были выявлены сделки и действия (бездействия), не соответствующие законодательству Российской Федерации, а также не были выявлены сделки, заключенные или исполненные на условиях, не соответствующих рыночным условиям, что послужило причиной возникновения или увеличения неплатежеспособности должника и причинило Должнику реальный ущерб в денежной форме.</w:t>
      </w:r>
    </w:p>
    <w:p>
      <w:pPr>
        <w:pStyle w:val="Style23"/>
        <w:spacing w:before="0" w:after="120"/>
        <w:jc w:val="both"/>
        <w:rPr>
          <w:sz w:val="20"/>
          <w:szCs w:val="20"/>
        </w:rPr>
      </w:pPr>
      <w:r>
        <w:rPr>
          <w:sz w:val="20"/>
          <w:szCs w:val="20"/>
        </w:rPr>
        <w:t>Таким образом, в соответствии с пунктом 10 Временных правил следует сделать вывод об отсутствии признаков преднамеренного банкротства.</w:t>
      </w:r>
    </w:p>
    <w:p>
      <w:pPr>
        <w:pStyle w:val="Style19"/>
        <w:numPr>
          <w:ilvl w:val="0"/>
          <w:numId w:val="1"/>
        </w:numPr>
        <w:ind w:hanging="0" w:start="0" w:end="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20"/>
          <w:szCs w:val="20"/>
        </w:rPr>
        <w:t>Выявление признаков фиктивного банкротства</w:t>
      </w:r>
    </w:p>
    <w:p>
      <w:pPr>
        <w:pStyle w:val="Style23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На основании Определения Арбитражного суда </w:t>
      </w:r>
      <w:r>
        <w:rPr>
          <w:color w:val="00B050"/>
          <w:sz w:val="20"/>
          <w:szCs w:val="20"/>
        </w:rPr>
        <w:t>города Санкт-Петербурга и Ленинградской области</w:t>
      </w:r>
      <w:r>
        <w:rPr>
          <w:sz w:val="20"/>
          <w:szCs w:val="20"/>
        </w:rPr>
        <w:t xml:space="preserve"> от </w:t>
      </w:r>
      <w:r>
        <w:rPr>
          <w:color w:val="FF0000"/>
          <w:sz w:val="20"/>
          <w:szCs w:val="20"/>
        </w:rPr>
        <w:t>22.05.2025</w:t>
      </w:r>
      <w:r>
        <w:rPr>
          <w:sz w:val="20"/>
          <w:szCs w:val="20"/>
        </w:rPr>
        <w:t xml:space="preserve"> г. дело о несостоятельности (банкротстве) № </w:t>
      </w:r>
      <w:r>
        <w:rPr>
          <w:color w:val="00B050"/>
          <w:sz w:val="20"/>
          <w:szCs w:val="20"/>
        </w:rPr>
        <w:t>А56-36284/2025</w:t>
      </w:r>
      <w:r>
        <w:rPr>
          <w:sz w:val="20"/>
          <w:szCs w:val="20"/>
        </w:rPr>
        <w:t xml:space="preserve"> возбуждено по заявлению Должника. </w:t>
      </w:r>
    </w:p>
    <w:p>
      <w:pPr>
        <w:pStyle w:val="Style23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Следовательно, в соответствии с пунктом 11 Временных правил, следует провести проверку наличия признаков фиктивного банкротства. </w:t>
      </w:r>
    </w:p>
    <w:p>
      <w:pPr>
        <w:pStyle w:val="Style23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В соответствии с п. 12 Временных правил для установления наличия (отсутствия) признаков фиктивного банкротства проводится анализ значений и динамики коэффициентов, характеризующих платежеспособность должника, рассчитанных за исследуемый период в соответствии с Правилами проведения арбитражными управляющими финансового анализа, утвержденными постановлением Правительства Российской Федерации от 25 июня 2003 г. № 367. </w:t>
      </w:r>
    </w:p>
    <w:p>
      <w:pPr>
        <w:pStyle w:val="Style23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Анализ значений и динамики данных показателей невозможно провести по причине отсутствия информационного массива. Тем не менее, из анализа движения имущественных прав должника следует, что на дату подачи в суд заявления о признании Должника несостоятельным (банкротом), у него отсутствовала возможность в полном объеме удовлетворить требования кредиторов по денежным обязательствам и (или) об уплате обязательных платежей. </w:t>
      </w:r>
    </w:p>
    <w:p>
      <w:pPr>
        <w:pStyle w:val="Style23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Таким образом, в соответствии с пунктом 13 Временных правил, следует сделать вывод о том, что признаки фиктивного банкротства отсутствуют. </w:t>
      </w:r>
    </w:p>
    <w:p>
      <w:pPr>
        <w:pStyle w:val="Style19"/>
        <w:ind w:start="0" w:end="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20"/>
          <w:szCs w:val="20"/>
        </w:rPr>
      </w:r>
    </w:p>
    <w:p>
      <w:pPr>
        <w:pStyle w:val="Style19"/>
        <w:numPr>
          <w:ilvl w:val="0"/>
          <w:numId w:val="1"/>
        </w:numPr>
        <w:ind w:hanging="0" w:start="0" w:end="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20"/>
          <w:szCs w:val="20"/>
        </w:rPr>
        <w:t>Выводы</w:t>
      </w:r>
    </w:p>
    <w:p>
      <w:pPr>
        <w:pStyle w:val="Style1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b/>
          <w:sz w:val="20"/>
          <w:szCs w:val="20"/>
        </w:rPr>
      </w:r>
    </w:p>
    <w:p>
      <w:pPr>
        <w:pStyle w:val="Style19"/>
        <w:ind w:start="0" w:end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На основании проведенной проверки наличия (отсутствия) признаков фиктивного и преднамеренного банкротства </w:t>
      </w:r>
      <w:r>
        <w:rPr>
          <w:rFonts w:cs="Times New Roman" w:ascii="Times New Roman" w:hAnsi="Times New Roman"/>
          <w:color w:val="00B050"/>
          <w:sz w:val="20"/>
          <w:szCs w:val="20"/>
          <w:lang w:val="ru-RU" w:eastAsia="ru-RU"/>
        </w:rPr>
        <w:t>Плехановой Анны Алексеевны</w:t>
      </w:r>
      <w:r>
        <w:rPr>
          <w:rFonts w:cs="Times New Roman" w:ascii="Times New Roman" w:hAnsi="Times New Roman"/>
          <w:sz w:val="20"/>
          <w:szCs w:val="20"/>
        </w:rPr>
        <w:t>, проведенной в процедуре реализации имущества гражданина за исследуемый период были сделаны следующие выводы:</w:t>
      </w:r>
    </w:p>
    <w:p>
      <w:pPr>
        <w:pStyle w:val="Style19"/>
        <w:ind w:start="0" w:end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Style19"/>
        <w:ind w:start="0" w:end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- об отсутствии признаков преднамеренного банкротства;</w:t>
      </w:r>
    </w:p>
    <w:p>
      <w:pPr>
        <w:pStyle w:val="Style19"/>
        <w:ind w:start="0" w:end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Style19"/>
        <w:ind w:start="0" w:end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- об отсутствии признаков фиктивного банкротства.</w:t>
      </w:r>
    </w:p>
    <w:p>
      <w:pPr>
        <w:pStyle w:val="Style19"/>
        <w:ind w:start="0" w:end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Style19"/>
        <w:ind w:start="0" w:end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tbl>
      <w:tblPr>
        <w:tblW w:w="5000" w:type="pct"/>
        <w:jc w:val="start"/>
        <w:tblInd w:w="0" w:type="dxa"/>
        <w:tblLayout w:type="fixed"/>
        <w:tblCellMar>
          <w:top w:w="45" w:type="dxa"/>
          <w:start w:w="45" w:type="dxa"/>
          <w:bottom w:w="45" w:type="dxa"/>
          <w:end w:w="45" w:type="dxa"/>
        </w:tblCellMar>
      </w:tblPr>
      <w:tblGrid>
        <w:gridCol w:w="4607"/>
        <w:gridCol w:w="139"/>
        <w:gridCol w:w="4609"/>
      </w:tblGrid>
      <w:tr>
        <w:trPr/>
        <w:tc>
          <w:tcPr>
            <w:tcW w:w="4607" w:type="dxa"/>
            <w:tcBorders/>
          </w:tcPr>
          <w:p>
            <w:pPr>
              <w:pStyle w:val="Normal"/>
              <w:spacing w:lineRule="auto" w:line="240" w:before="120" w:after="12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 </w:t>
            </w:r>
          </w:p>
          <w:p>
            <w:pPr>
              <w:pStyle w:val="Normal"/>
              <w:spacing w:lineRule="auto" w:line="240" w:before="120" w:after="120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  <w:lang w:eastAsia="ru-RU"/>
              </w:rPr>
            </w:r>
          </w:p>
          <w:p>
            <w:pPr>
              <w:pStyle w:val="Normal"/>
              <w:spacing w:lineRule="auto" w:line="240" w:before="120" w:after="120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  <w:lang w:eastAsia="ru-RU"/>
              </w:rPr>
              <w:t xml:space="preserve">Финансовый управляющий </w:t>
              <w:br/>
            </w:r>
            <w:r>
              <w:rPr>
                <w:rFonts w:eastAsia="Times New Roman" w:cs="Times New Roman" w:ascii="Times New Roman" w:hAnsi="Times New Roman"/>
                <w:b/>
                <w:bCs/>
                <w:color w:val="00B050"/>
                <w:sz w:val="20"/>
                <w:szCs w:val="20"/>
                <w:lang w:val="ru-RU" w:eastAsia="ru-RU"/>
              </w:rPr>
              <w:t>Плехановой Анны Алексеевны</w:t>
            </w:r>
          </w:p>
          <w:tbl>
            <w:tblPr>
              <w:tblW w:w="5000" w:type="pct"/>
              <w:jc w:val="start"/>
              <w:tblInd w:w="0" w:type="dxa"/>
              <w:tblLayout w:type="fixed"/>
              <w:tblCellMar>
                <w:top w:w="45" w:type="dxa"/>
                <w:start w:w="45" w:type="dxa"/>
                <w:bottom w:w="45" w:type="dxa"/>
                <w:end w:w="45" w:type="dxa"/>
              </w:tblCellMar>
            </w:tblPr>
            <w:tblGrid>
              <w:gridCol w:w="4517"/>
            </w:tblGrid>
            <w:tr>
              <w:trPr/>
              <w:tc>
                <w:tcPr>
                  <w:tcW w:w="4517" w:type="dxa"/>
                  <w:tcBorders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3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609" w:type="dxa"/>
            <w:tcBorders/>
          </w:tcPr>
          <w:p>
            <w:pPr>
              <w:pStyle w:val="Normal"/>
              <w:spacing w:lineRule="auto" w:line="240" w:before="120" w:after="120"/>
              <w:jc w:val="end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 </w:t>
            </w:r>
          </w:p>
          <w:p>
            <w:pPr>
              <w:pStyle w:val="Normal"/>
              <w:spacing w:lineRule="auto" w:line="240" w:before="120" w:after="120"/>
              <w:jc w:val="end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drawing>
                <wp:inline distT="0" distB="0" distL="0" distR="0">
                  <wp:extent cx="959485" cy="365125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45" t="-118" r="-45" b="-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9485" cy="365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 xml:space="preserve">                   </w:t>
            </w: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  <w:lang w:eastAsia="ru-RU"/>
              </w:rPr>
              <w:t>В.В. Федорец</w:t>
            </w:r>
          </w:p>
        </w:tc>
      </w:tr>
    </w:tbl>
    <w:p>
      <w:pPr>
        <w:pStyle w:val="Style19"/>
        <w:spacing w:before="0" w:after="160"/>
        <w:ind w:start="0" w:end="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cc"/>
    <w:family w:val="swiss"/>
    <w:pitch w:val="variable"/>
  </w:font>
  <w:font w:name="Segoe UI">
    <w:charset w:val="cc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57" w:before="0" w:after="160"/>
    </w:pPr>
    <w:rPr>
      <w:rFonts w:ascii="Calibri" w:hAnsi="Calibri" w:eastAsia="Calibri" w:cs="Times New Roman"/>
      <w:color w:val="auto"/>
      <w:sz w:val="22"/>
      <w:szCs w:val="22"/>
      <w:lang w:bidi="ar-SA" w:val="ru-RU" w:eastAsia="zh-CN"/>
    </w:rPr>
  </w:style>
  <w:style w:type="character" w:styleId="WW8Num1z0">
    <w:name w:val="WW8Num1z0"/>
    <w:rPr>
      <w:b/>
    </w:rPr>
  </w:style>
  <w:style w:type="character" w:styleId="Style14">
    <w:name w:val="Основной шрифт абзаца"/>
    <w:rPr/>
  </w:style>
  <w:style w:type="character" w:styleId="Style15">
    <w:name w:val="Знак примечания"/>
    <w:rPr>
      <w:sz w:val="16"/>
      <w:szCs w:val="16"/>
    </w:rPr>
  </w:style>
  <w:style w:type="character" w:styleId="Style16">
    <w:name w:val="Текст примечания Знак"/>
    <w:rPr>
      <w:sz w:val="20"/>
      <w:szCs w:val="20"/>
    </w:rPr>
  </w:style>
  <w:style w:type="character" w:styleId="Style17">
    <w:name w:val="Тема примечания Знак"/>
    <w:rPr>
      <w:b/>
      <w:bCs/>
      <w:sz w:val="20"/>
      <w:szCs w:val="20"/>
    </w:rPr>
  </w:style>
  <w:style w:type="character" w:styleId="Style18">
    <w:name w:val="Текст выноски Знак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Style19">
    <w:name w:val="Абзац списка"/>
    <w:basedOn w:val="Normal"/>
    <w:pPr>
      <w:spacing w:before="0" w:after="160"/>
      <w:ind w:hanging="0" w:start="720" w:end="0"/>
      <w:contextualSpacing/>
    </w:pPr>
    <w:rPr/>
  </w:style>
  <w:style w:type="paragraph" w:styleId="Style20">
    <w:name w:val="Текст примечания"/>
    <w:basedOn w:val="Normal"/>
    <w:pPr>
      <w:spacing w:lineRule="auto" w:line="240"/>
    </w:pPr>
    <w:rPr>
      <w:sz w:val="20"/>
      <w:szCs w:val="20"/>
      <w:lang w:val="ru-RU"/>
    </w:rPr>
  </w:style>
  <w:style w:type="paragraph" w:styleId="Style21">
    <w:name w:val="Тема примечания"/>
    <w:basedOn w:val="Style20"/>
    <w:next w:val="Style20"/>
    <w:pPr/>
    <w:rPr>
      <w:b/>
      <w:bCs/>
    </w:rPr>
  </w:style>
  <w:style w:type="paragraph" w:styleId="Style22">
    <w:name w:val="Текст выноски"/>
    <w:basedOn w:val="Normal"/>
    <w:pPr>
      <w:spacing w:lineRule="auto" w:line="240" w:before="0" w:after="0"/>
    </w:pPr>
    <w:rPr>
      <w:rFonts w:ascii="Segoe UI" w:hAnsi="Segoe UI" w:cs="Segoe UI"/>
      <w:sz w:val="18"/>
      <w:szCs w:val="18"/>
      <w:lang w:val="ru-RU"/>
    </w:rPr>
  </w:style>
  <w:style w:type="paragraph" w:styleId="Style23">
    <w:name w:val="Обычный (веб)"/>
    <w:basedOn w:val="Normal"/>
    <w:pPr>
      <w:spacing w:lineRule="auto" w:line="240" w:before="240" w:after="240"/>
    </w:pPr>
    <w:rPr>
      <w:rFonts w:ascii="Times New Roman" w:hAnsi="Times New Roman" w:eastAsia="Times New Roman" w:cs="Times New Roman"/>
      <w:sz w:val="24"/>
      <w:szCs w:val="24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2019-03-22T16:31:00Z</dcterms:created>
  <dc:creator>Natalia</dc:creator>
  <dc:description/>
  <cp:keywords/>
  <dc:language>ru-RU</dc:language>
  <cp:lastModifiedBy>Рустам</cp:lastModifiedBy>
  <cp:lastPrinted>2019-04-16T18:59:00Z</cp:lastPrinted>
  <dcterms:modified xsi:type="dcterms:W3CDTF">2026-09-04T12:50:00Z</dcterms:modified>
  <cp:revision>97</cp:revision>
  <dc:subject/>
  <dc:title/>
</cp:coreProperties>
</file>