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005EB8"/>
          <w:sz w:val="16"/>
          <w:szCs w:val="16"/>
        </w:rPr>
        <w:t xml:space="preserve">BRONINGS UNIVERSITY HOSPITAL GROUP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Business Discovery Report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To: </w:t>
      </w:r>
      <w:r>
        <w:rPr>
          <w:rFonts w:ascii="Arial" w:cs="Arial" w:eastAsia="Arial" w:hAnsi="Arial"/>
          <w:sz w:val="21"/>
          <w:szCs w:val="21"/>
        </w:rPr>
        <w:t xml:space="preserve">Tom Nguyen, Director of Operations 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From: </w:t>
      </w:r>
      <w:r>
        <w:rPr>
          <w:rFonts w:ascii="Arial" w:cs="Arial" w:eastAsia="Arial" w:hAnsi="Arial"/>
          <w:sz w:val="21"/>
          <w:szCs w:val="21"/>
        </w:rPr>
        <w:t xml:space="preserve">Lucky Ukeni, Advanced Healthcare Data Analyst 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17 January 2025</w:t>
      </w:r>
    </w:p>
    <w:p>
      <w:pPr>
        <w:pBdr>
          <w:bottom w:val="single" w:color="005EB8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1. Where we are failing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300"/>
        <w:gridCol w:w="576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NHS standard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 4-hour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81.3%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13.7 points short, and falling for five months in a row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RTT 18-week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74.8%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92%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17.2 points short; 312 patients waiting over a year, 47 over two years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Theatre utilisation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85%</w:t>
            </w:r>
          </w:p>
        </w:tc>
        <w:tc>
          <w:tcPr>
            <w:tcW w:type="dxa" w:w="5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 points short; about £180,000 a month of paid-for theatre time unused</w:t>
            </w:r>
          </w:p>
        </w:tc>
      </w:tr>
    </w:tbl>
    <w:p>
      <w:pPr>
        <w:pBdr>
          <w:bottom w:val="single" w:color="005EB8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2. The data problem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At the last Board, the DNA rate was given as 12.4%, 9.8% and 14.1% from the same data. None is right: one was typed in last September, one formula counts the header row and cancelled appointments, and one uses a different date range. The weekly summary sheet has been wrong since October 2023, the RTT figure may date from August 2024, and the ED figure is counted by hand.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sz w:val="21"/>
          <w:szCs w:val="21"/>
        </w:rPr>
        <w:t xml:space="preserve">The Board argues about numbers instead of fixing performance, and NHS England already flags our mismatched submissions. Our national data quality score is 52 out of 100; the pass mark is 75.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caused it: </w:t>
      </w:r>
      <w:r>
        <w:rPr>
          <w:rFonts w:ascii="Arial" w:cs="Arial" w:eastAsia="Arial" w:hAnsi="Arial"/>
          <w:sz w:val="21"/>
          <w:szCs w:val="21"/>
        </w:rPr>
        <w:t xml:space="preserve">no agreed KPI definitions; manual copy-and-paste with no version control; known faults in the data feeds (shortened NHS numbers, old specialty codes, missing agency flags) that were never fixed; and no owner since the previous analyst left.</w:t>
      </w:r>
    </w:p>
    <w:p>
      <w:pPr>
        <w:pBdr>
          <w:bottom w:val="single" w:color="005EB8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3. Financial stakes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The Trust estimates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£4.2 million a year</w:t>
      </w:r>
      <w:r>
        <w:rPr>
          <w:rFonts w:ascii="Arial" w:cs="Arial" w:eastAsia="Arial" w:hAnsi="Arial"/>
          <w:sz w:val="21"/>
          <w:szCs w:val="21"/>
        </w:rPr>
        <w:t xml:space="preserve"> at risk: unused theatres (£180k a month), inpatient episodes not coded and therefore not paid (£51.8k a month), untracked agency spend (estimated £2.3m a year), fines of £14k per patient waiting over 52 weeks, and £380k of quality income. These items add up to more than £4.2m, so I will agree the basis with Priya before we quote a total.</w:t>
      </w:r>
    </w:p>
    <w:p>
      <w:pPr>
        <w:pBdr>
          <w:bottom w:val="single" w:color="005EB8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4. My approach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Phase 3 (by 31 Jan): </w:t>
      </w:r>
      <w:r>
        <w:rPr>
          <w:rFonts w:ascii="Arial" w:cs="Arial" w:eastAsia="Arial" w:hAnsi="Arial"/>
          <w:sz w:val="21"/>
          <w:szCs w:val="21"/>
        </w:rPr>
        <w:t xml:space="preserve">repair the outpatient workbook, log each error and how much it moves each figure, and set one correct DNA rate.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Phase 4 (by 7 Feb): </w:t>
      </w:r>
      <w:r>
        <w:rPr>
          <w:rFonts w:ascii="Arial" w:cs="Arial" w:eastAsia="Arial" w:hAnsi="Arial"/>
          <w:sz w:val="21"/>
          <w:szCs w:val="21"/>
        </w:rPr>
        <w:t xml:space="preserve">SQL checks to find root causes, such as why our RTT count differs from the national portal's.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Phase 5 (by 14 Feb): </w:t>
      </w:r>
      <w:r>
        <w:rPr>
          <w:rFonts w:ascii="Arial" w:cs="Arial" w:eastAsia="Arial" w:hAnsi="Arial"/>
          <w:sz w:val="21"/>
          <w:szCs w:val="21"/>
        </w:rPr>
        <w:t xml:space="preserve">agree 18 KPI definitions, each with one formula and one owner.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Phases 6–7 (by 7 Mar): </w:t>
      </w:r>
      <w:r>
        <w:rPr>
          <w:rFonts w:ascii="Arial" w:cs="Arial" w:eastAsia="Arial" w:hAnsi="Arial"/>
          <w:sz w:val="21"/>
          <w:szCs w:val="21"/>
        </w:rPr>
        <w:t xml:space="preserve">Power BI and Tableau dashboards, plus an automated weekly exception report replacing manual copy-and-paste.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Phase 8 (by 14 Mar): </w:t>
      </w:r>
      <w:r>
        <w:rPr>
          <w:rFonts w:ascii="Arial" w:cs="Arial" w:eastAsia="Arial" w:hAnsi="Arial"/>
          <w:sz w:val="21"/>
          <w:szCs w:val="21"/>
        </w:rPr>
        <w:t xml:space="preserve">Board presentation built on figures you can defend.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Why this order: we cannot fix what we cannot measure.</w:t>
      </w:r>
    </w:p>
    <w:p>
      <w:pPr>
        <w:pBdr>
          <w:bottom w:val="single" w:color="005EB8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003087"/>
          <w:sz w:val="23"/>
          <w:szCs w:val="23"/>
        </w:rPr>
        <w:t xml:space="preserve">5. The deadline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NHS England's review team arrives 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Monday 24 March 2025</w:t>
      </w:r>
      <w:r>
        <w:rPr>
          <w:rFonts w:ascii="Arial" w:cs="Arial" w:eastAsia="Arial" w:hAnsi="Arial"/>
          <w:sz w:val="21"/>
          <w:szCs w:val="21"/>
        </w:rPr>
        <w:t xml:space="preserve">, ten weeks from now, on a fixed date. They will test whether we understand our performance, can explain each figure, and have a credible recovery plan. If we cannot explain our own DNA rate, we fail the governance part of the review whatever our actual performance.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you can use today: </w:t>
      </w:r>
      <w:r>
        <w:rPr>
          <w:rFonts w:ascii="Arial" w:cs="Arial" w:eastAsia="Arial" w:hAnsi="Arial"/>
          <w:sz w:val="21"/>
          <w:szCs w:val="21"/>
        </w:rPr>
        <w:t xml:space="preserve">ED 4-hour and the 52- and 104-week counts, with caveats. Hold back the DNA rate and the 74.8% RTT figure until I re-check them.</w:t>
      </w:r>
    </w:p>
    <w:sectPr>
      <w:footerReference w:type="default" r:id="rId7"/>
      <w:pgSz w:w="11906" w:h="16838" w:orient="portrait"/>
      <w:pgMar w:top="680" w:right="780" w:bottom="68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0"/>
      <w:jc w:val="center"/>
    </w:pPr>
    <w:r>
      <w:rPr>
        <w:rFonts w:ascii="Arial" w:cs="Arial" w:eastAsia="Arial" w:hAnsi="Arial"/>
        <w:color w:val="425563"/>
        <w:sz w:val="14"/>
        <w:szCs w:val="14"/>
      </w:rPr>
      <w:t xml:space="preserve">INTERNAL USE ONLY · Bronings University Hospital Group · Phase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2026-10-04T18:23:51.413Z</dcterms:created>
  <dcterms:modified xsi:type="dcterms:W3CDTF">2026-10-04T18:23:51.413Z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