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005EB8"/>
          <w:sz w:val="16"/>
          <w:szCs w:val="16"/>
        </w:rPr>
        <w:t xml:space="preserve">BRONINGS UNIVERSITY HOSPITAL GROUP</w:t>
      </w:r>
    </w:p>
    <w:p>
      <w:pPr>
        <w:spacing w:after="20" w:before="0"/>
      </w:pPr>
      <w:r>
        <w:rPr>
          <w:rFonts w:ascii="Arial" w:cs="Arial" w:eastAsia="Arial" w:hAnsi="Arial"/>
          <w:b/>
          <w:bCs/>
          <w:color w:val="003087"/>
          <w:sz w:val="38"/>
          <w:szCs w:val="38"/>
        </w:rPr>
        <w:t xml:space="preserve">18-KPI Framework Document</w:t>
      </w:r>
    </w:p>
    <w:p>
      <w:pPr>
        <w:spacing w:after="60" w:before="0"/>
      </w:pPr>
      <w:r>
        <w:rPr>
          <w:rFonts w:ascii="Arial" w:cs="Arial" w:eastAsia="Arial" w:hAnsi="Arial"/>
          <w:color w:val="425563"/>
          <w:sz w:val="20"/>
          <w:szCs w:val="20"/>
        </w:rPr>
        <w:t xml:space="preserve">Locked KPI definitions for the Phase 6 Power BI and Tableau dashboards</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400"/>
        <w:gridCol w:w="7866"/>
      </w:tblGrid>
      <w:tr>
        <w:trPr>
          <w:cantSplit/>
          <w:tblHeader/>
        </w:trPr>
        <w:tc>
          <w:tcPr>
            <w:tcW w:type="dxa" w:w="24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Field</w:t>
            </w:r>
          </w:p>
        </w:tc>
        <w:tc>
          <w:tcPr>
            <w:tcW w:type="dxa" w:w="786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Version</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1.1 — DRAFT for sign-off at the KPI Design Workshop (v1.1: DNA rate formula updated, Section 5)</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Prepared by</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Lucky Ukeni, Advanced Healthcare Data Analyst (workshop lead)</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Organised by</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Sarah Okafor, Performance Manager</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Approvers</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 · Finance Director · Medical Director · Performance Manager</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Effective from</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Sign-off date; reviewed quarterly</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Evidence base</w:t>
            </w:r>
          </w:p>
        </w:tc>
        <w:tc>
          <w:tcPr>
            <w:tcW w:type="dxa" w:w="7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Phase 2 KPI Research Pack; Phase 3 DQ Issue Log (63 issues); Phase 4 SQL Investigation (12 queries)</w:t>
            </w:r>
          </w:p>
        </w:tc>
      </w:tr>
    </w:tbl>
    <w:p>
      <w:pPr>
        <w:pStyle w:val="Heading1"/>
        <w:keepNext/>
        <w:pBdr>
          <w:bottom w:val="single" w:color="005EB8" w:sz="6" w:space="1"/>
        </w:pBdr>
        <w:spacing w:after="80" w:before="220"/>
      </w:pPr>
      <w:r>
        <w:rPr>
          <w:rFonts w:ascii="Arial" w:cs="Arial" w:eastAsia="Arial" w:hAnsi="Arial"/>
          <w:b/>
          <w:bCs/>
          <w:color w:val="003087"/>
          <w:sz w:val="26"/>
          <w:szCs w:val="26"/>
        </w:rPr>
        <w:t xml:space="preserve">1. Purpose and principles</w:t>
      </w:r>
    </w:p>
    <w:p>
      <w:pPr>
        <w:spacing w:after="80" w:before="0"/>
      </w:pPr>
      <w:r>
        <w:rPr>
          <w:rFonts w:ascii="Arial" w:cs="Arial" w:eastAsia="Arial" w:hAnsi="Arial"/>
          <w:sz w:val="19"/>
          <w:szCs w:val="19"/>
        </w:rPr>
        <w:t xml:space="preserve">At the last Board, three departments quoted three DNA rates from the same data. This framework makes sure that cannot happen again. Once signed, every report, dashboard and NHS England submission uses these definitions and nothing else.</w:t>
      </w:r>
    </w:p>
    <w:p>
      <w:pPr>
        <w:pStyle w:val="ListParagraph"/>
        <w:numPr>
          <w:ilvl w:val="0"/>
          <w:numId w:val="2"/>
        </w:numPr>
        <w:spacing w:after="80" w:before="0"/>
      </w:pPr>
      <w:r>
        <w:rPr>
          <w:rFonts w:ascii="Arial" w:cs="Arial" w:eastAsia="Arial" w:hAnsi="Arial"/>
          <w:b/>
          <w:bCs/>
          <w:sz w:val="19"/>
          <w:szCs w:val="19"/>
        </w:rPr>
        <w:t xml:space="preserve">One KPI, one formula. </w:t>
      </w:r>
      <w:r>
        <w:rPr>
          <w:rFonts w:ascii="Arial" w:cs="Arial" w:eastAsia="Arial" w:hAnsi="Arial"/>
          <w:sz w:val="19"/>
          <w:szCs w:val="19"/>
        </w:rPr>
        <w:t xml:space="preserve">Each KPI has a single exact calculation. Where two legitimate views exist (theatre utilisation), both are defined, separately labelled, and only one is benchmarked.</w:t>
      </w:r>
    </w:p>
    <w:p>
      <w:pPr>
        <w:pStyle w:val="ListParagraph"/>
        <w:numPr>
          <w:ilvl w:val="0"/>
          <w:numId w:val="2"/>
        </w:numPr>
        <w:spacing w:after="80" w:before="0"/>
      </w:pPr>
      <w:r>
        <w:rPr>
          <w:rFonts w:ascii="Arial" w:cs="Arial" w:eastAsia="Arial" w:hAnsi="Arial"/>
          <w:b/>
          <w:bCs/>
          <w:sz w:val="19"/>
          <w:szCs w:val="19"/>
        </w:rPr>
        <w:t xml:space="preserve">One source of truth. </w:t>
      </w:r>
      <w:r>
        <w:rPr>
          <w:rFonts w:ascii="Arial" w:cs="Arial" w:eastAsia="Arial" w:hAnsi="Arial"/>
          <w:sz w:val="19"/>
          <w:szCs w:val="19"/>
        </w:rPr>
        <w:t xml:space="preserve">Every KPI names its table and columns in BroningsAnalytics. Pre-calculated or manually maintained columns (Four_Hour_Breach, Utilisation_Pct, the hardcoded Finance DNA cell) are not used.</w:t>
      </w:r>
    </w:p>
    <w:p>
      <w:pPr>
        <w:pStyle w:val="ListParagraph"/>
        <w:numPr>
          <w:ilvl w:val="0"/>
          <w:numId w:val="2"/>
        </w:numPr>
        <w:spacing w:after="80" w:before="0"/>
      </w:pPr>
      <w:r>
        <w:rPr>
          <w:rFonts w:ascii="Arial" w:cs="Arial" w:eastAsia="Arial" w:hAnsi="Arial"/>
          <w:b/>
          <w:bCs/>
          <w:sz w:val="19"/>
          <w:szCs w:val="19"/>
        </w:rPr>
        <w:t xml:space="preserve">One named owner. </w:t>
      </w:r>
      <w:r>
        <w:rPr>
          <w:rFonts w:ascii="Arial" w:cs="Arial" w:eastAsia="Arial" w:hAnsi="Arial"/>
          <w:sz w:val="19"/>
          <w:szCs w:val="19"/>
        </w:rPr>
        <w:t xml:space="preserve">A named role is accountable for performance and for acting on the trigger.</w:t>
      </w:r>
    </w:p>
    <w:p>
      <w:pPr>
        <w:pStyle w:val="ListParagraph"/>
        <w:numPr>
          <w:ilvl w:val="0"/>
          <w:numId w:val="2"/>
        </w:numPr>
        <w:spacing w:after="80" w:before="0"/>
      </w:pPr>
      <w:r>
        <w:rPr>
          <w:rFonts w:ascii="Arial" w:cs="Arial" w:eastAsia="Arial" w:hAnsi="Arial"/>
          <w:b/>
          <w:bCs/>
          <w:sz w:val="19"/>
          <w:szCs w:val="19"/>
        </w:rPr>
        <w:t xml:space="preserve">Quality before quantity (ISO 8000). </w:t>
      </w:r>
      <w:r>
        <w:rPr>
          <w:rFonts w:ascii="Arial" w:cs="Arial" w:eastAsia="Arial" w:hAnsi="Arial"/>
          <w:sz w:val="19"/>
          <w:szCs w:val="19"/>
        </w:rPr>
        <w:t xml:space="preserve">Each KPI carries a data quality rule covering completeness, validity, consistency and accuracy, derived from the Phase 3 DQ Issue Log. A KPI whose data fails its rule is shown on the dashboard with a data-quality warning, not hidden.</w:t>
      </w:r>
    </w:p>
    <w:p>
      <w:pPr>
        <w:pStyle w:val="ListParagraph"/>
        <w:numPr>
          <w:ilvl w:val="0"/>
          <w:numId w:val="2"/>
        </w:numPr>
        <w:spacing w:after="80" w:before="0"/>
      </w:pPr>
      <w:r>
        <w:rPr>
          <w:rFonts w:ascii="Arial" w:cs="Arial" w:eastAsia="Arial" w:hAnsi="Arial"/>
          <w:b/>
          <w:bCs/>
          <w:sz w:val="19"/>
          <w:szCs w:val="19"/>
        </w:rPr>
        <w:t xml:space="preserve">Constitutional and interim standards shown together. </w:t>
      </w:r>
      <w:r>
        <w:rPr>
          <w:rFonts w:ascii="Arial" w:cs="Arial" w:eastAsia="Arial" w:hAnsi="Arial"/>
          <w:sz w:val="19"/>
          <w:szCs w:val="19"/>
        </w:rPr>
        <w:t xml:space="preserve">NHS England publishes both; the dashboard shows the gap to each.</w:t>
      </w:r>
    </w:p>
    <w:p>
      <w:pPr>
        <w:pStyle w:val="Heading1"/>
        <w:keepNext/>
        <w:pBdr>
          <w:bottom w:val="single" w:color="005EB8" w:sz="6" w:space="1"/>
        </w:pBdr>
        <w:spacing w:after="80" w:before="220"/>
      </w:pPr>
      <w:r>
        <w:rPr>
          <w:rFonts w:ascii="Arial" w:cs="Arial" w:eastAsia="Arial" w:hAnsi="Arial"/>
          <w:b/>
          <w:bCs/>
          <w:color w:val="003087"/>
          <w:sz w:val="26"/>
          <w:szCs w:val="26"/>
        </w:rPr>
        <w:t xml:space="preserve">2. Summary of the 18 KPIs</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1600"/>
        <w:gridCol w:w="1350"/>
        <w:gridCol w:w="1750"/>
        <w:gridCol w:w="1800"/>
        <w:gridCol w:w="1046"/>
      </w:tblGrid>
      <w:tr>
        <w:trPr>
          <w:cantSplit/>
          <w:tblHeader/>
        </w:trPr>
        <w:tc>
          <w:tcPr>
            <w:tcW w:type="dxa" w:w="52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ID</w:t>
            </w:r>
          </w:p>
        </w:tc>
        <w:tc>
          <w:tcPr>
            <w:tcW w:type="dxa" w:w="22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KPI</w:t>
            </w:r>
          </w:p>
        </w:tc>
        <w:tc>
          <w:tcPr>
            <w:tcW w:type="dxa" w:w="16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NHS standard</w:t>
            </w:r>
          </w:p>
        </w:tc>
        <w:tc>
          <w:tcPr>
            <w:tcW w:type="dxa" w:w="135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Trust target</w:t>
            </w:r>
          </w:p>
        </w:tc>
        <w:tc>
          <w:tcPr>
            <w:tcW w:type="dxa" w:w="175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Owner</w:t>
            </w:r>
          </w:p>
        </w:tc>
        <w:tc>
          <w:tcPr>
            <w:tcW w:type="dxa" w:w="18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Baseline</w:t>
            </w:r>
          </w:p>
        </w:tc>
        <w:tc>
          <w:tcPr>
            <w:tcW w:type="dxa" w:w="104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Status</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K01</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4-hour target compliance (4HT)</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95%</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90%</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83.1%</w:t>
            </w:r>
          </w:p>
        </w:tc>
        <w:tc>
          <w:tcPr>
            <w:tcW w:type="dxa" w:w="104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center"/>
            </w:pPr>
            <w:r>
              <w:rPr>
                <w:rFonts w:ascii="Arial" w:cs="Arial" w:eastAsia="Arial" w:hAnsi="Arial"/>
                <w:b/>
                <w:bCs/>
                <w:sz w:val="16"/>
                <w:szCs w:val="16"/>
              </w:rPr>
              <w:t xml:space="preserve">Amber</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K02</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Left Without Being Seen rate (LWBS)</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≤5%</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&lt;5%</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Clinical Lead</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2.40%</w:t>
            </w:r>
          </w:p>
        </w:tc>
        <w:tc>
          <w:tcPr>
            <w:tcW w:type="dxa" w:w="104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center"/>
            </w:pPr>
            <w:r>
              <w:rPr>
                <w:rFonts w:ascii="Arial" w:cs="Arial" w:eastAsia="Arial" w:hAnsi="Arial"/>
                <w:b/>
                <w:bCs/>
                <w:sz w:val="16"/>
                <w:szCs w:val="16"/>
              </w:rPr>
              <w:t xml:space="preserve">Amber</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K03</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Outpatient DNA rate (DNA)</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constitutional standard</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&lt;8%</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13.1% Q1 2025</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K04</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 18-week compliance (RTT18)</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92%</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88%</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41.98% in extract</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K05</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Waiting list size (open RTT pathways) (RTT-WL)</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list-size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Month-on-month reduction against an agreed trajectory</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132 open pathways in extract</w:t>
            </w:r>
          </w:p>
        </w:tc>
        <w:tc>
          <w:tcPr>
            <w:tcW w:type="dxa" w:w="104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center"/>
            </w:pPr>
            <w:r>
              <w:rPr>
                <w:rFonts w:ascii="Arial" w:cs="Arial" w:eastAsia="Arial" w:hAnsi="Arial"/>
                <w:b/>
                <w:bCs/>
                <w:sz w:val="16"/>
                <w:szCs w:val="16"/>
              </w:rPr>
              <w:t xml:space="preserve">Amber</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K06</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Patients waiting more than 52 weeks (RTT52)</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Zero</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0</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2 in extract</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K07</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 utilisation — TWO labelled measures (TU-S / TU-H)</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85%</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85%</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Theatres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TU-S 64.2% · TU-H 71.6%</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K08</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Cancelled operations rate (CANOP)</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National ≈0</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100% rebooked within 28 days</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Theatres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6.74% Trust-initiated</w:t>
            </w:r>
          </w:p>
        </w:tc>
        <w:tc>
          <w:tcPr>
            <w:tcW w:type="dxa" w:w="104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center"/>
            </w:pPr>
            <w:r>
              <w:rPr>
                <w:rFonts w:ascii="Arial" w:cs="Arial" w:eastAsia="Arial" w:hAnsi="Arial"/>
                <w:b/>
                <w:bCs/>
                <w:sz w:val="16"/>
                <w:szCs w:val="16"/>
              </w:rPr>
              <w:t xml:space="preserve">Amber</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K09</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Bed occupancy rate (BOR)</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≤92% general and acute</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&lt;85%</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Not calculable</w:t>
            </w:r>
          </w:p>
        </w:tc>
        <w:tc>
          <w:tcPr>
            <w:tcW w:type="dxa" w:w="104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center"/>
            </w:pPr>
            <w:r>
              <w:rPr>
                <w:rFonts w:ascii="Arial" w:cs="Arial" w:eastAsia="Arial" w:hAnsi="Arial"/>
                <w:b/>
                <w:bCs/>
                <w:sz w:val="16"/>
                <w:szCs w:val="16"/>
              </w:rPr>
              <w:t xml:space="preserve">Unknown</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K10</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Average length of stay (ALOS)</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&lt;4.5 days</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3.88 days</w:t>
            </w:r>
          </w:p>
        </w:tc>
        <w:tc>
          <w:tcPr>
            <w:tcW w:type="dxa" w:w="1046"/>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center"/>
            </w:pPr>
            <w:r>
              <w:rPr>
                <w:rFonts w:ascii="Arial" w:cs="Arial" w:eastAsia="Arial" w:hAnsi="Arial"/>
                <w:b/>
                <w:bCs/>
                <w:sz w:val="16"/>
                <w:szCs w:val="16"/>
              </w:rPr>
              <w:t xml:space="preserve">Green</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K11</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30-day readmission rate (RA30)</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&lt;10%</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10.25%</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K12</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HRG coding completeness (HRG%)</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98%</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98%</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Clinical Coding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97.67%</w:t>
            </w:r>
          </w:p>
        </w:tc>
        <w:tc>
          <w:tcPr>
            <w:tcW w:type="dxa" w:w="104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center"/>
            </w:pPr>
            <w:r>
              <w:rPr>
                <w:rFonts w:ascii="Arial" w:cs="Arial" w:eastAsia="Arial" w:hAnsi="Arial"/>
                <w:b/>
                <w:bCs/>
                <w:sz w:val="16"/>
                <w:szCs w:val="16"/>
              </w:rPr>
              <w:t xml:space="preserve">Amber</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K13</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Agency spend as % of total staff cost (AGY%)</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Maximum 3</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&lt;8%</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Business Partner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16.57% of shifts</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K14</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Cost per patient episode (CPE)</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At or below peer median</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Business Partner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Unknown</w:t>
            </w:r>
          </w:p>
        </w:tc>
        <w:tc>
          <w:tcPr>
            <w:tcW w:type="dxa" w:w="104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center"/>
            </w:pPr>
            <w:r>
              <w:rPr>
                <w:rFonts w:ascii="Arial" w:cs="Arial" w:eastAsia="Arial" w:hAnsi="Arial"/>
                <w:b/>
                <w:bCs/>
                <w:sz w:val="16"/>
                <w:szCs w:val="16"/>
              </w:rPr>
              <w:t xml:space="preserve">Unknown</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K15</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Patient safety incident rate (PSIR)</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Reporting rate at or above peer median</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 and Chief Nurse</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Unknown</w:t>
            </w:r>
          </w:p>
        </w:tc>
        <w:tc>
          <w:tcPr>
            <w:tcW w:type="dxa" w:w="104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center"/>
            </w:pPr>
            <w:r>
              <w:rPr>
                <w:rFonts w:ascii="Arial" w:cs="Arial" w:eastAsia="Arial" w:hAnsi="Arial"/>
                <w:b/>
                <w:bCs/>
                <w:sz w:val="16"/>
                <w:szCs w:val="16"/>
              </w:rPr>
              <w:t xml:space="preserve">Unknown</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K16</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Staff vacancy rate (VAC)</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At or below the national rate for each staff group</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Workforce Planning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Unknown</w:t>
            </w:r>
          </w:p>
        </w:tc>
        <w:tc>
          <w:tcPr>
            <w:tcW w:type="dxa" w:w="104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center"/>
            </w:pPr>
            <w:r>
              <w:rPr>
                <w:rFonts w:ascii="Arial" w:cs="Arial" w:eastAsia="Arial" w:hAnsi="Arial"/>
                <w:b/>
                <w:bCs/>
                <w:sz w:val="16"/>
                <w:szCs w:val="16"/>
              </w:rPr>
              <w:t xml:space="preserve">Unknown</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K17</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DSP Toolkit / DQMI data quality score (DQMI)</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75 / 100 acceptable threshold</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DQMI ≥75 by the March DSP Toolkit submission</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Head of Analytics</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DQMI 52</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r>
        <w:trPr>
          <w:cantSplit/>
        </w:trPr>
        <w:tc>
          <w:tcPr>
            <w:tcW w:type="dxa" w:w="52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K18</w:t>
            </w:r>
          </w:p>
        </w:tc>
        <w:tc>
          <w:tcPr>
            <w:tcW w:type="dxa" w:w="22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 clock start-to-stop accuracy (RTT-CSA)</w:t>
            </w:r>
          </w:p>
        </w:tc>
        <w:tc>
          <w:tcPr>
            <w:tcW w:type="dxa" w:w="1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NHS England RTT rules suite — every pathway has a recorded clock start and stop</w:t>
            </w:r>
          </w:p>
        </w:tc>
        <w:tc>
          <w:tcPr>
            <w:tcW w:type="dxa" w:w="13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≥98%</w:t>
            </w:r>
          </w:p>
        </w:tc>
        <w:tc>
          <w:tcPr>
            <w:tcW w:type="dxa" w:w="17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w:t>
            </w:r>
          </w:p>
        </w:tc>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center"/>
            </w:pPr>
            <w:r>
              <w:rPr>
                <w:rFonts w:ascii="Arial" w:cs="Arial" w:eastAsia="Arial" w:hAnsi="Arial"/>
                <w:sz w:val="16"/>
                <w:szCs w:val="16"/>
              </w:rPr>
              <w:t xml:space="preserve">95.00%</w:t>
            </w:r>
          </w:p>
        </w:tc>
        <w:tc>
          <w:tcPr>
            <w:tcW w:type="dxa" w:w="104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center"/>
            </w:pPr>
            <w:r>
              <w:rPr>
                <w:rFonts w:ascii="Arial" w:cs="Arial" w:eastAsia="Arial" w:hAnsi="Arial"/>
                <w:b/>
                <w:bCs/>
                <w:sz w:val="16"/>
                <w:szCs w:val="16"/>
              </w:rPr>
              <w:t xml:space="preserve">Red</w:t>
            </w:r>
          </w:p>
        </w:tc>
      </w:tr>
    </w:tbl>
    <w:p>
      <w:pPr>
        <w:spacing w:after="80" w:before="60"/>
      </w:pPr>
      <w:r>
        <w:rPr>
          <w:rFonts w:ascii="Arial" w:cs="Arial" w:eastAsia="Arial" w:hAnsi="Arial"/>
          <w:i/>
          <w:iCs/>
          <w:color w:val="425563"/>
          <w:sz w:val="15"/>
          <w:szCs w:val="15"/>
        </w:rPr>
        <w:t xml:space="preserve">Status is the validated baseline against the NHS standard: Red = breaching, Amber = within tolerance or data caveat, Green = meeting, Unknown = data not yet available. Today: 8 Red, 5 Amber, 1 Green, 4 Unknown (all need data not yet loaded: bed base, Finance ledger, incidents, establishment).</w:t>
      </w:r>
    </w:p>
    <w:p>
      <w:r>
        <w:br w:type="page"/>
      </w:r>
    </w:p>
    <w:p>
      <w:pPr>
        <w:pStyle w:val="Heading1"/>
        <w:keepNext/>
        <w:pBdr>
          <w:bottom w:val="single" w:color="005EB8" w:sz="6" w:space="1"/>
        </w:pBdr>
        <w:spacing w:after="80" w:before="220"/>
      </w:pPr>
      <w:r>
        <w:rPr>
          <w:rFonts w:ascii="Arial" w:cs="Arial" w:eastAsia="Arial" w:hAnsi="Arial"/>
          <w:b/>
          <w:bCs/>
          <w:color w:val="003087"/>
          <w:sz w:val="26"/>
          <w:szCs w:val="26"/>
        </w:rPr>
        <w:t xml:space="preserve">3. KPI definitions</w:t>
      </w:r>
    </w:p>
    <w:p>
      <w:pPr>
        <w:pStyle w:val="Heading2"/>
        <w:keepNext/>
        <w:spacing w:after="50" w:before="160"/>
      </w:pPr>
      <w:r>
        <w:rPr>
          <w:rFonts w:ascii="Arial" w:cs="Arial" w:eastAsia="Arial" w:hAnsi="Arial"/>
          <w:b/>
          <w:bCs/>
          <w:color w:val="005EB8"/>
          <w:sz w:val="21"/>
          <w:szCs w:val="21"/>
        </w:rPr>
        <w:t xml:space="preserve">1. ED 4-hour target compliance (4HT)</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4-hour target compliance — 4HT   (domain: Emergency)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COUNT(attendances WHERE ED_Minutes &lt;= 240) ÷ COUNT(attendances WHERE Departure_Time IS NOT NULL) × 100, where ED_Minutes = (DATEDIFF(minute, Arrival_Time, Departure_Time) + 1440) % 1440, one row per Attendance_ID. Publish alongside the range: missing departures counted as breaches (low) and as passes (high).</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dbo.EDAttendances: Attendance_ID, Arrival_Time, Departure_Time (via vw_ED_Clean.ED_Minutes). The Four_Hour_Breach column is NOT used (39 blanks; derived field).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95% (NHS Constitution). Interim: 78% by March 2025 and March 2026 (NHS England planning guidance).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90%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 (Tom Nguyen); delivered by the ED Clinical Lead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staffing and front-door streaming; escalation (OPEL) decisions; investment in bed capacity and discharge to improve flow.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Below 78% in any week → daily breach review by cause and site escalation. Below 90% for 3 consecutive months → recovery plan to the Board. Missing departures above 2% of attendances → data quality alert to the ED Manager.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Departure_Time complete (≥98%); time format HH:MM (12-hour entries converted); no duplicate Attendance_ID.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b/>
                <w:bCs/>
                <w:sz w:val="16"/>
                <w:szCs w:val="16"/>
              </w:rPr>
              <w:t xml:space="preserve">83.1% (range 80.1%–83.8%; 35 missing departures)   ·   Status: Amber</w:t>
            </w:r>
          </w:p>
        </w:tc>
      </w:tr>
    </w:tbl>
    <w:p>
      <w:pPr>
        <w:pStyle w:val="Heading2"/>
        <w:keepNext/>
        <w:spacing w:after="50" w:before="160"/>
      </w:pPr>
      <w:r>
        <w:rPr>
          <w:rFonts w:ascii="Arial" w:cs="Arial" w:eastAsia="Arial" w:hAnsi="Arial"/>
          <w:b/>
          <w:bCs/>
          <w:color w:val="005EB8"/>
          <w:sz w:val="21"/>
          <w:szCs w:val="21"/>
        </w:rPr>
        <w:t xml:space="preserve">2. ED Left Without Being Seen rate (LWBS)</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Left Without Being Seen rate — LWBS   (domain: Emergency)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COUNT(attendances WHERE Departure_Code = 'LWBS') ÷ COUNT(all attendances) × 100, one row per Attendance_ID.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dbo.EDAttendances: Departure_Code, Attendance_ID.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≤5% (A&amp;E Clinical Quality Indicators). No current national target.</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&lt;5%</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Clinical Lead (reports to the Director of Operations)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Triage and streaming capacity; clinician rostering against peak arrival hours.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Above 5% in a month → analysis by hour of day and day of week, and review of triage-to-clinician times. 'LEFT' code must be defined before go-live (workshop decision).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Departure_Code within the agreed code list; 'LEFT' (120 rows) mapped once defined.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b/>
                <w:bCs/>
                <w:sz w:val="16"/>
                <w:szCs w:val="16"/>
              </w:rPr>
              <w:t xml:space="preserve">2.40% (LWBS only) — 14.69% if 'LEFT' means left before being seen   ·   Status: Amber</w:t>
            </w:r>
          </w:p>
        </w:tc>
      </w:tr>
    </w:tbl>
    <w:p>
      <w:pPr>
        <w:pStyle w:val="Heading2"/>
        <w:keepNext/>
        <w:spacing w:after="50" w:before="160"/>
      </w:pPr>
      <w:r>
        <w:rPr>
          <w:rFonts w:ascii="Arial" w:cs="Arial" w:eastAsia="Arial" w:hAnsi="Arial"/>
          <w:b/>
          <w:bCs/>
          <w:color w:val="005EB8"/>
          <w:sz w:val="21"/>
          <w:szCs w:val="21"/>
        </w:rPr>
        <w:t xml:space="preserve">3. Outpatient DNA rate (DNA)</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Outpatient DNA rate — DNA   (domain: Outpatients)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DNA rate = COUNT(Attendance_Status = 'DNA') ÷ [COUNT('ATT') + COUNT('DNA') + COUNT('CAN') + COUNT('REF')] × 100, i.e. DNA / (ATT + DNA + CAN + REF) × 100. Reported per financial quarter. Header row, blanks and invalid codes are never counted ('attended' mapped to ATT; 'N/A' excluded). See Section 5.</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dbo.OutpatientAppointments: Attendance_Status, Appointment_Date, Specialty_Code, Clinic_Code.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constitutional standard; national average 7.6% (2021/22, NHS England); Trust and brief benchmark &lt;10%.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&lt;8%</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 (Sarah Okafor); clinic managers deliver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Where to target SMS reminders, overbooking and clinic template redesign; freeing clinic capacity for RTT recovery.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Above 8% for the quarter → specialty and clinic drill-down plus reminder-coverage audit. Any clinic above 15% → clinic manager action plan within 4 weeks. Outcome not recorded within 48 hours → data quality alert.</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Attendance_Status in {ATT, DNA, CAN, REF}; outcome recorded within 48 hours of the appointment.</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13.1% Q1 2025 (76 of 579)   ·   Status: Red</w:t>
            </w:r>
          </w:p>
        </w:tc>
      </w:tr>
    </w:tbl>
    <w:p>
      <w:pPr>
        <w:pStyle w:val="Heading2"/>
        <w:keepNext/>
        <w:spacing w:after="50" w:before="160"/>
      </w:pPr>
      <w:r>
        <w:rPr>
          <w:rFonts w:ascii="Arial" w:cs="Arial" w:eastAsia="Arial" w:hAnsi="Arial"/>
          <w:b/>
          <w:bCs/>
          <w:color w:val="005EB8"/>
          <w:sz w:val="21"/>
          <w:szCs w:val="21"/>
        </w:rPr>
        <w:t xml:space="preserve">4. RTT 18-week compliance (RTT18)</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 18-week compliance — RTT18   (domain: Elective)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COUNT(open pathways WHERE RTT_Weeks &lt;= 18) ÷ COUNT(open pathways WHERE RTT_Weeks IS NOT NULL) × 100, at month-end snapshot. Open = RTT_Status 'OPEN' (blank treated as OPEN pending validation).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dbo.OutpatientAppointments: RTT_Status, RTT_Weeks, Specialty_Code (full waiting list / PTL required for the Board figure).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92% (NHS Constitution). Interim: 65% nationally by March 2026, every trust +5 percentage points (2025/26 guidance).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88%</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 (Tom Nguyen)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Which specialties need extra capacity, insourcing/outsourcing or validation; statutory monthly RTT submission.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Any specialty below 85% → recovery trajectory agreed with the specialty lead. Trust below its interim trajectory → Board escalation. Any PAS vs Unify2 difference → validate before submission.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RTT_Weeks numeric and ≥0; RTT_Status populated; open pathways validated monthly (clock stops recorded).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41.98% in extract (55 of 131) — Board figure 74.8% unverified (pivot last refreshed Aug 2024)   ·   Status: Red</w:t>
            </w:r>
          </w:p>
        </w:tc>
      </w:tr>
    </w:tbl>
    <w:p>
      <w:pPr>
        <w:pStyle w:val="Heading2"/>
        <w:keepNext/>
        <w:spacing w:after="50" w:before="160"/>
      </w:pPr>
      <w:r>
        <w:rPr>
          <w:rFonts w:ascii="Arial" w:cs="Arial" w:eastAsia="Arial" w:hAnsi="Arial"/>
          <w:b/>
          <w:bCs/>
          <w:color w:val="005EB8"/>
          <w:sz w:val="21"/>
          <w:szCs w:val="21"/>
        </w:rPr>
        <w:t xml:space="preserve">5. Waiting list size (open RTT pathways) (RTT-WL)</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Waiting list size (open RTT pathways) — RTT-WL   (domain: Elective)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COUNT(DISTINCT pathways WHERE RTT_Status = 'OPEN') at month-end snapshot; reported with month-on-month change.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dbo.OutpatientAppointments: RTT_Status, Appointment_ID, NHS_Number.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list-size target; NHS England tracks list size monthly against system trajectories.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Month-on-month reduction against an agreed trajectory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 (Sarah Okafor)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Demand and capacity planning; validation programme; outsourcing decisions.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List grows for 2 consecutive months → demand/capacity review by specialty.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NHS_Number held as 10-character text; no duplicate pathways; blank RTT_Status validated.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b/>
                <w:bCs/>
                <w:sz w:val="16"/>
                <w:szCs w:val="16"/>
              </w:rPr>
              <w:t xml:space="preserve">132 open pathways in extract   ·   Status: Amber</w:t>
            </w:r>
          </w:p>
        </w:tc>
      </w:tr>
    </w:tbl>
    <w:p>
      <w:pPr>
        <w:pStyle w:val="Heading2"/>
        <w:keepNext/>
        <w:spacing w:after="50" w:before="160"/>
      </w:pPr>
      <w:r>
        <w:rPr>
          <w:rFonts w:ascii="Arial" w:cs="Arial" w:eastAsia="Arial" w:hAnsi="Arial"/>
          <w:b/>
          <w:bCs/>
          <w:color w:val="005EB8"/>
          <w:sz w:val="21"/>
          <w:szCs w:val="21"/>
        </w:rPr>
        <w:t xml:space="preserve">6. Patients waiting more than 52 weeks (RTT52)</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Patients waiting more than 52 weeks — RTT52   (domain: Elective)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COUNT(open pathways WHERE RTT_Weeks &gt; 52); also reported as % of RTT-WL. Sub-count: RTT_Weeks &gt; 104.</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dbo.OutpatientAppointments: RTT_Status, RTT_Weeks, Waiting_Days.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Zero; interim fewer than 1% of the waiting list by March 2026 (2025/26 guidance).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 (Tom Nguyen)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Prioritising long-waiters; mutual aid and outsourcing; managing contractual exposure (£14,000 per breach).</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Any patient over 52 weeks → named on a weekly list with a treatment date and a clinical harm review. Any patient over 104 weeks → reported to the Director of Operations the same day.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As RTT18.</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2 in extract (1.52% of list) — Board figure 312 unverified   ·   Status: Red</w:t>
            </w:r>
          </w:p>
        </w:tc>
      </w:tr>
    </w:tbl>
    <w:p>
      <w:pPr>
        <w:pStyle w:val="Heading2"/>
        <w:keepNext/>
        <w:spacing w:after="50" w:before="160"/>
      </w:pPr>
      <w:r>
        <w:rPr>
          <w:rFonts w:ascii="Arial" w:cs="Arial" w:eastAsia="Arial" w:hAnsi="Arial"/>
          <w:b/>
          <w:bCs/>
          <w:color w:val="005EB8"/>
          <w:sz w:val="21"/>
          <w:szCs w:val="21"/>
        </w:rPr>
        <w:t xml:space="preserve">7. Theatre utilisation — TWO labelled measures (TU-S / TU-H)</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 utilisation — TWO labelled measures — TU-S / TU-H   (domain: Elective)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TU-S (primary, sessions): SUM(MIN(Sessions_Used, Sessions_Available)) ÷ SUM(Sessions_Available) × 100, elective theatres T1–T3, weeks with Sessions_Available &gt; 0.  TU-H (secondary, Finance hours view): [SUM(Sessions_Used) × 240 + SUM(Overrun_Minutes)] ÷ [SUM(Sessions_Available) × 240] × 100, all theatres T1–T4. See Section 4.</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dbo.TheatreUtilisation: Sessions_Used, Sessions_Available, Theatre_ID, Overrun_Minutes, Week_Ending. The Utilisation_Pct column is NOT used (7 incorrect rows).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85% (GIRFT theatre productivity programme). TU-S is the NHS-comparable measure.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85% (applies to TU-S only)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Theatres Manager (accountable: Director of Operations); TU-H reported by the Finance Business Partner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Session planning and reallocation of persistently under-used lists; theatre productivity investment (≈£180,000/month unused capacity).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TU-S below 85% for 4 consecutive weeks → session-level review of late starts, early finishes and cancellations; sessions under-used for 6 weeks reallocated. Any week with Sessions_Used &gt; Sessions_Available → corrected at source in TMS.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Sessions_Used ≤ Sessions_Available; Theatre_ID in {T1–T4}; week ending on Sunday.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TU-S 64.2% · TU-H 71.6% (rebuilt from data: 65.5% / 72.4%)   ·   Status: Red</w:t>
            </w:r>
          </w:p>
        </w:tc>
      </w:tr>
    </w:tbl>
    <w:p>
      <w:pPr>
        <w:pStyle w:val="Heading2"/>
        <w:keepNext/>
        <w:spacing w:after="50" w:before="160"/>
      </w:pPr>
      <w:r>
        <w:rPr>
          <w:rFonts w:ascii="Arial" w:cs="Arial" w:eastAsia="Arial" w:hAnsi="Arial"/>
          <w:b/>
          <w:bCs/>
          <w:color w:val="005EB8"/>
          <w:sz w:val="21"/>
          <w:szCs w:val="21"/>
        </w:rPr>
        <w:t xml:space="preserve">8. Cancelled operations rate (CANOP)</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Cancelled operations rate — CANOP   (domain: Elective)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SUM(Cancellations_Trust) ÷ SUM(Cases_Planned) × 100 (interim). Target state: last-minute non-clinical cancellations ÷ elective admissions × 100, plus % of cancelled patients rebooked within 28 days.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dbo.TheatreUtilisation: Cancellations_Trust, Cancellations_Patient, Cases_Planned, Specialty_Code.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National ≈0.9% of elective activity cancelled last-minute for non-clinical reasons; NHS Constitution: binding new date within 28 days.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100% rebooked within 28 days; rate target set once a last-minute reason field exists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Theatres Manager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Protecting elective beds; list planning; statutory Cancelled Operations return.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Any 28-day breach → Director of Operations. Specialty above 10 cancellations per 100 planned cases in a month → review of cancellation reasons.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Cancellation fields complete (53 blank cells today); cancellation reason and timing captured in TMS.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b/>
                <w:bCs/>
                <w:sz w:val="16"/>
                <w:szCs w:val="16"/>
              </w:rPr>
              <w:t xml:space="preserve">6.74% Trust-initiated (359 of 5,324 planned cases); 12.06% incl. patient cancellations   ·   Status: Amber</w:t>
            </w:r>
          </w:p>
        </w:tc>
      </w:tr>
    </w:tbl>
    <w:p>
      <w:pPr>
        <w:pStyle w:val="Heading2"/>
        <w:keepNext/>
        <w:spacing w:after="50" w:before="160"/>
      </w:pPr>
      <w:r>
        <w:rPr>
          <w:rFonts w:ascii="Arial" w:cs="Arial" w:eastAsia="Arial" w:hAnsi="Arial"/>
          <w:b/>
          <w:bCs/>
          <w:color w:val="005EB8"/>
          <w:sz w:val="21"/>
          <w:szCs w:val="21"/>
        </w:rPr>
        <w:t xml:space="preserve">9. Bed occupancy rate (BOR)</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Bed occupancy rate — BOR   (domain: Flow)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AVERAGE over the period of [COUNT(episodes WHERE Admission_Date &lt;= census date AND (Discharge_Date IS NULL OR Discharge_Date &gt; census date)) at midnight] ÷ available G&amp;A beds × 100.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dbo.InpatientAdmissions: Admission_Date, Discharge_Date, Ward_Code; bed base reference table (380 beds; W-08 excluded).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≤92% general and acute (NHS England planning guidance).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&lt;85%</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 (site management team)</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Opening escalation beds; discharge focus; protecting elective beds.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Above 92% on any day → discharge huddle and site escalation. Above 85% for 5 consecutive days → elective bed-protection review.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Open episodes validated (31 open, some since Oct 2024); no activity on decommissioned W-08; bed base held as a reference table.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Not calculable — extract is not full activity and bed base by ward is not loaded   ·   Status: Unknown</w:t>
            </w:r>
          </w:p>
        </w:tc>
      </w:tr>
    </w:tbl>
    <w:p>
      <w:pPr>
        <w:pStyle w:val="Heading2"/>
        <w:keepNext/>
        <w:spacing w:after="50" w:before="160"/>
      </w:pPr>
      <w:r>
        <w:rPr>
          <w:rFonts w:ascii="Arial" w:cs="Arial" w:eastAsia="Arial" w:hAnsi="Arial"/>
          <w:b/>
          <w:bCs/>
          <w:color w:val="005EB8"/>
          <w:sz w:val="21"/>
          <w:szCs w:val="21"/>
        </w:rPr>
        <w:t xml:space="preserve">10. Average length of stay (ALOS)</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Average length of stay — ALOS   (domain: Flow)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SUM(DATEDIFF(day, Admission_Date, Discharge_Date)) ÷ COUNT(discharged spells); reported for all spells and excluding day cases (LOS = 0). LOS is recalculated from dates, not taken from Length_of_Stay.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dbo.InpatientAdmissions: Admission_Date, Discharge_Date, Admission_Type, Specialty_Code.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 benchmark against peers (Model Health System).</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&lt;4.5 days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 (with Director of Operations)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Discharge process improvement; community capacity; specialty bed allocation.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Specialty above 4.5 days for 2 consecutive months → review of delayed discharges and patients with no criteria to reside.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Discharge_Date valid date (3 text dates converted); no negative LOS (6 rows).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b/>
                <w:bCs/>
                <w:sz w:val="16"/>
                <w:szCs w:val="16"/>
              </w:rPr>
              <w:t xml:space="preserve">3.88 days (1,169 discharged spells); 4.03 days excluding day cases   ·   Status: Green</w:t>
            </w:r>
          </w:p>
        </w:tc>
      </w:tr>
    </w:tbl>
    <w:p>
      <w:pPr>
        <w:pStyle w:val="Heading2"/>
        <w:keepNext/>
        <w:spacing w:after="50" w:before="160"/>
      </w:pPr>
      <w:r>
        <w:rPr>
          <w:rFonts w:ascii="Arial" w:cs="Arial" w:eastAsia="Arial" w:hAnsi="Arial"/>
          <w:b/>
          <w:bCs/>
          <w:color w:val="005EB8"/>
          <w:sz w:val="21"/>
          <w:szCs w:val="21"/>
        </w:rPr>
        <w:t xml:space="preserve">11. 30-day readmission rate (RA30)</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30-day readmission rate — RA30   (domain: Quality)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COUNT(episodes WHERE Readmission_Flag = 'Y') ÷ COUNT(DISTINCT Episode_ID) × 100. Blank flags back-filled: 'Y' if the same NHS_Number has a Discharge_Date within 30 days before this Admission_Date, else 'N'.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dbo.InpatientAdmissions: Readmission_Flag, NHS_Number, Admission_Date, Discharge_Date, Episode_ID.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 monitored in the NHS Oversight Framework.</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&lt;10%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Discharge quality, follow-up and community support.</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Above 10% → specialty case review of readmissions. Any blank flag at month end → back-fill and refer to Clinical Coding.</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Readmission_Flag complete (44 blank); flag logic agreed with Clinical Coding (existing flags do not follow the 30-day rule).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10.25% (123 of 1,200) after back-fill; 9.00% before   ·   Status: Red</w:t>
            </w:r>
          </w:p>
        </w:tc>
      </w:tr>
    </w:tbl>
    <w:p>
      <w:pPr>
        <w:pStyle w:val="Heading2"/>
        <w:keepNext/>
        <w:spacing w:after="50" w:before="160"/>
      </w:pPr>
      <w:r>
        <w:rPr>
          <w:rFonts w:ascii="Arial" w:cs="Arial" w:eastAsia="Arial" w:hAnsi="Arial"/>
          <w:b/>
          <w:bCs/>
          <w:color w:val="005EB8"/>
          <w:sz w:val="21"/>
          <w:szCs w:val="21"/>
        </w:rPr>
        <w:t xml:space="preserve">12. HRG coding completeness (HRG%)</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HRG coding completeness — HRG%   (domain: Finance)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COUNT(DISTINCT Episode_ID WHERE HRG_Code IS NOT NULL AND HRG_Code &lt;&gt; '') ÷ COUNT(DISTINCT Episode_ID) × 100. Income at risk = uncoded episodes × £1,850.</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dbo.InpatientAdmissions: HRG_Code, Episode_ID, Specialty_Code.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98% (complete coding required for the monthly SUS submission).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98%</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Clinical Coding Manager (Marcus Reid); income impact reported by the Finance Business Partner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Coding resource allocation; income recovery before the SUS deadline.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Below 98% five working days before SUS deadline → uncoded episode list to Clinical Coding; £ at risk reported to Finance.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duplicate Episode_ID (6 today); HRG format AA00A.</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b/>
                <w:bCs/>
                <w:sz w:val="16"/>
                <w:szCs w:val="16"/>
              </w:rPr>
              <w:t xml:space="preserve">97.67% (28 uncoded; £51,800 over 6 months)   ·   Status: Amber</w:t>
            </w:r>
          </w:p>
        </w:tc>
      </w:tr>
    </w:tbl>
    <w:p>
      <w:pPr>
        <w:pStyle w:val="Heading2"/>
        <w:keepNext/>
        <w:spacing w:after="50" w:before="160"/>
      </w:pPr>
      <w:r>
        <w:rPr>
          <w:rFonts w:ascii="Arial" w:cs="Arial" w:eastAsia="Arial" w:hAnsi="Arial"/>
          <w:b/>
          <w:bCs/>
          <w:color w:val="005EB8"/>
          <w:sz w:val="21"/>
          <w:szCs w:val="21"/>
        </w:rPr>
        <w:t xml:space="preserve">13. Agency spend as % of total staff cost (AGY%)</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Agency spend as % of total staff cost — AGY%   (domain: Finance)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SUM(agency cost) ÷ SUM(total staff cost) × 100 from the Finance ledger. Interim operational proxy: COUNT(shifts WHERE Agency_Flag = 'Y') ÷ COUNT(shifts WHERE Agency_Flag IN ('Y','N')) × 100, ST-99 records excluded, with a best/worst-case range for blank flags.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dbo.WorkforceStaffing: Agency_Flag, Staff_ID, Shift_Date, Ward_Code; Finance ledger agency cost centres.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Maximum 3.2% of total pay bill (2024/25); minimum 30% reduction in agency spend (2025/26).</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&lt;8% (brief) — recommend a glide path to 3.2%</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Business Partner (Priya Chakrabarti)</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Agency approval controls; recruitment business cases; workforce spend reporting.</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Above 3.2% national cap → executive sign-off for agency shifts. Blank Agency_Flag above 1% → ward manager follow-up.</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Agency_Flag mandatory (15 blank); ST-99 test records filtered (24).</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16.57% of shifts (252 of 1,521); £97,020 at £385/shift   ·   Status: Red</w:t>
            </w:r>
          </w:p>
        </w:tc>
      </w:tr>
    </w:tbl>
    <w:p>
      <w:pPr>
        <w:pStyle w:val="Heading2"/>
        <w:keepNext/>
        <w:spacing w:after="50" w:before="160"/>
      </w:pPr>
      <w:r>
        <w:rPr>
          <w:rFonts w:ascii="Arial" w:cs="Arial" w:eastAsia="Arial" w:hAnsi="Arial"/>
          <w:b/>
          <w:bCs/>
          <w:color w:val="005EB8"/>
          <w:sz w:val="21"/>
          <w:szCs w:val="21"/>
        </w:rPr>
        <w:t xml:space="preserve">14. Cost per patient episode (CPE)</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Cost per patient episode — CPE   (domain: Finance)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SUM(operating expenditure for the period, £) ÷ COUNT(DISTINCT finished Episode_ID in the period); also by specialty and HRG.</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ledger (not yet in BroningsAnalytics); dbo.InpatientAdmissions: Episode_ID, HRG_Code, Specialty_Code.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 benchmark against peers (National Cost Collection / Model Health System).</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At or below peer median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Business Partner (Priya Chakrabarti)</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Service-line efficiency and cost-improvement plans.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More than 10% above peer median → service-line cost review.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Cost and activity for the same period and scope; HRG coded before calculation.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Unknown — ledger not loaded   ·   Status: Unknown</w:t>
            </w:r>
          </w:p>
        </w:tc>
      </w:tr>
    </w:tbl>
    <w:p>
      <w:pPr>
        <w:pStyle w:val="Heading2"/>
        <w:keepNext/>
        <w:spacing w:after="50" w:before="160"/>
      </w:pPr>
      <w:r>
        <w:rPr>
          <w:rFonts w:ascii="Arial" w:cs="Arial" w:eastAsia="Arial" w:hAnsi="Arial"/>
          <w:b/>
          <w:bCs/>
          <w:color w:val="005EB8"/>
          <w:sz w:val="21"/>
          <w:szCs w:val="21"/>
        </w:rPr>
        <w:t xml:space="preserve">15. Patient safety incident rate (PSIR)</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Patient safety incident rate — PSIR   (domain: Quality)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COUNT(patient safety incidents reported) ÷ SUM(occupied bed days) × 1,000; plus % of incidents with moderate or greater harm.</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Incident system (LFPSE/Datix — not yet loaded); dbo.InpatientAdmissions: Admission_Date, Discharge_Date (bed days).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 NHS England publishes LFPSE statistics quarterly.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Reporting rate at or above peer median; moderate+ harm reducing</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 and Chief Nurse (Head of Patient Safety)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Patient safety priorities under PSIRF; assurance to the Board and CQC.</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Reporting falls by more than 20% or moderate+ harm rises → Quality Committee review.</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Incident feed to be added to Daniel Walsh's pipeline queue.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Unknown — no incident data   ·   Status: Unknown</w:t>
            </w:r>
          </w:p>
        </w:tc>
      </w:tr>
    </w:tbl>
    <w:p>
      <w:pPr>
        <w:pStyle w:val="Heading2"/>
        <w:keepNext/>
        <w:spacing w:after="50" w:before="160"/>
      </w:pPr>
      <w:r>
        <w:rPr>
          <w:rFonts w:ascii="Arial" w:cs="Arial" w:eastAsia="Arial" w:hAnsi="Arial"/>
          <w:b/>
          <w:bCs/>
          <w:color w:val="005EB8"/>
          <w:sz w:val="21"/>
          <w:szCs w:val="21"/>
        </w:rPr>
        <w:t xml:space="preserve">16. Staff vacancy rate (VAC)</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Staff vacancy rate — VAC   (domain: Workforce)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[SUM(funded establishment WTE) − SUM(staff in post WTE)] ÷ SUM(funded establishment WTE) × 100, by staff group and ward.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establishment and ESR (not yet loaded); dbo.WorkforceStaffing: Staff_ID, Staff_Grade, Ward_Code as an in-post proxy.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 national target; benchmark against NHS England quarterly vacancy statistics.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At or below the national rate for each staff group</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Workforce Planning Manager (Adaeze Obi)</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Recruitment priorities; reducing agency reliance (AGY%).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Ward above the national rate for 2 consecutive quarters → targeted recruitment plan.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Staff_Grade in agreed list ('Doctor' mapped via ESR).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Unknown — establishment data not loaded   ·   Status: Unknown</w:t>
            </w:r>
          </w:p>
        </w:tc>
      </w:tr>
    </w:tbl>
    <w:p>
      <w:pPr>
        <w:pStyle w:val="Heading2"/>
        <w:keepNext/>
        <w:spacing w:after="50" w:before="160"/>
      </w:pPr>
      <w:r>
        <w:rPr>
          <w:rFonts w:ascii="Arial" w:cs="Arial" w:eastAsia="Arial" w:hAnsi="Arial"/>
          <w:b/>
          <w:bCs/>
          <w:color w:val="005EB8"/>
          <w:sz w:val="21"/>
          <w:szCs w:val="21"/>
        </w:rPr>
        <w:t xml:space="preserve">17. DSP Toolkit / DQMI data quality score (DQMI)</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DSP Toolkit / DQMI data quality score — DQMI   (domain: Data quality)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External: NHS England DQMI score (0–100). Internal: COUNT(rows passing all DQ rules) ÷ COUNT(all rows) × 100 per dataset, RAG Green ≥95%, Amber 85–94%, Red &lt;85%.</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NHS England DQMI publication; internal score from all five dbo tables via the DQ_Issue_Log rules.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75 / 100 acceptable threshold.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DQMI ≥75 by the March DSP Toolkit submission; every dataset ≥95% internally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Head of Analytics (interim: Advanced Healthcare Data Analyst); Information Governance Lead (Fiona Lawson)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Which data fixes to prioritise; evidence for the DSP Toolkit and £380,000 CQUIN.</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Any dataset below 85% → fix plan into the pipeline queue. DQMI below 75 → reported to the Board.</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Rules maintained in the DQ Issue Log (63 issues).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DQMI 52; internal 79.4% overall (ED 55.5%, Theatres 58.2%)   ·   Status: Red</w:t>
            </w:r>
          </w:p>
        </w:tc>
      </w:tr>
    </w:tbl>
    <w:p>
      <w:pPr>
        <w:pStyle w:val="Heading2"/>
        <w:keepNext/>
        <w:spacing w:after="50" w:before="160"/>
      </w:pPr>
      <w:r>
        <w:rPr>
          <w:rFonts w:ascii="Arial" w:cs="Arial" w:eastAsia="Arial" w:hAnsi="Arial"/>
          <w:b/>
          <w:bCs/>
          <w:color w:val="005EB8"/>
          <w:sz w:val="21"/>
          <w:szCs w:val="21"/>
        </w:rPr>
        <w:t xml:space="preserve">18. RTT clock start-to-stop accuracy (RTT-CSA)</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300"/>
        <w:gridCol w:w="7966"/>
      </w:tblGrid>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1. KPI name / abbreviation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 clock start-to-stop accuracy — RTT-CSA   (domain: Data quality)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2. Formula</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COUNT(pathways WHERE Waiting_Days is numeric AND ≥ 0 AND Waiting_Days = RTT_Weeks × 7 AND RTT_Status IS NOT NULL) ÷ COUNT(all pathways) × 100; plus the PAS vs Unify2 total difference.</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3. Data source (table.column)</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dbo.OutpatientAppointments: Waiting_Days, RTT_Weeks, RTT_Status; Unify2 submission totals.</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4. NHS standard / benchmark</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NHS England RTT rules suite — every pathway has a recorded clock start and stop; boards must assure waiting-time data quality.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5. Bronings Trust target</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≥98%; zero negative waits; PAS = Unify2</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6. Operational owner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 (Sarah Okafor)</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7. Business decision supported</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Whether the RTT submission can be defended; validation resourcing.</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8. Action trigger</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Below 98% or any negative wait → correct before submission and root-cause with the PAS team.</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Data quality rule (ISO 8000)</w:t>
            </w:r>
          </w:p>
        </w:tc>
        <w:tc>
          <w:tcPr>
            <w:tcW w:type="dxa" w:w="79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28 text values and 1 negative wait today.</w:t>
            </w:r>
          </w:p>
        </w:tc>
      </w:tr>
      <w:tr>
        <w:trPr>
          <w:cantSplit/>
        </w:trPr>
        <w:tc>
          <w:tcPr>
            <w:tcW w:type="dxa" w:w="2300"/>
            <w:tcBorders>
              <w:top w:val="single" w:color="BFBFBF" w:sz="4"/>
              <w:left w:val="single" w:color="BFBFBF" w:sz="4"/>
              <w:bottom w:val="single" w:color="BFBFBF" w:sz="4"/>
              <w:right w:val="single" w:color="BFBFBF" w:sz="4"/>
            </w:tcBorders>
            <w:shd w:fill="E8EDEE" w:color="auto" w:val="clear"/>
            <w:tcMar>
              <w:top w:type="dxa" w:w="30"/>
              <w:left w:type="dxa" w:w="70"/>
              <w:bottom w:type="dxa" w:w="30"/>
              <w:right w:type="dxa" w:w="70"/>
            </w:tcMar>
          </w:tcPr>
          <w:p>
            <w:pPr>
              <w:jc w:val="left"/>
            </w:pPr>
            <w:r>
              <w:rPr>
                <w:rFonts w:ascii="Arial" w:cs="Arial" w:eastAsia="Arial" w:hAnsi="Arial"/>
                <w:b/>
                <w:bCs/>
                <w:sz w:val="16"/>
                <w:szCs w:val="16"/>
              </w:rPr>
              <w:t xml:space="preserve">Validated baseline</w:t>
            </w:r>
          </w:p>
        </w:tc>
        <w:tc>
          <w:tcPr>
            <w:tcW w:type="dxa" w:w="7966"/>
            <w:tcBorders>
              <w:top w:val="single" w:color="BFBFBF" w:sz="4"/>
              <w:left w:val="single" w:color="BFBFBF" w:sz="4"/>
              <w:bottom w:val="single" w:color="BFBFBF" w:sz="4"/>
              <w:right w:val="single" w:color="BFBFBF" w:sz="4"/>
            </w:tcBorders>
            <w:shd w:fill="F8CBAD" w:color="auto" w:val="clear"/>
            <w:tcMar>
              <w:top w:type="dxa" w:w="30"/>
              <w:left w:type="dxa" w:w="70"/>
              <w:bottom w:type="dxa" w:w="30"/>
              <w:right w:type="dxa" w:w="70"/>
            </w:tcMar>
          </w:tcPr>
          <w:p>
            <w:pPr>
              <w:jc w:val="left"/>
            </w:pPr>
            <w:r>
              <w:rPr>
                <w:rFonts w:ascii="Arial" w:cs="Arial" w:eastAsia="Arial" w:hAnsi="Arial"/>
                <w:b/>
                <w:bCs/>
                <w:sz w:val="16"/>
                <w:szCs w:val="16"/>
              </w:rPr>
              <w:t xml:space="preserve">95.00% (551 of 580 pathways valid)   ·   Status: Red</w:t>
            </w:r>
          </w:p>
        </w:tc>
      </w:tr>
    </w:tbl>
    <w:p>
      <w:pPr>
        <w:pStyle w:val="Heading1"/>
        <w:keepNext/>
        <w:pBdr>
          <w:bottom w:val="single" w:color="005EB8" w:sz="6" w:space="1"/>
        </w:pBdr>
        <w:spacing w:after="80" w:before="220"/>
      </w:pPr>
      <w:r>
        <w:rPr>
          <w:rFonts w:ascii="Arial" w:cs="Arial" w:eastAsia="Arial" w:hAnsi="Arial"/>
          <w:b/>
          <w:bCs/>
          <w:color w:val="003087"/>
          <w:sz w:val="26"/>
          <w:szCs w:val="26"/>
        </w:rPr>
        <w:t xml:space="preserve">4. Theatre utilisation — resolving the Finance vs Operations dispute</w:t>
      </w:r>
    </w:p>
    <w:p>
      <w:pPr>
        <w:spacing w:after="80" w:before="0"/>
      </w:pPr>
      <w:r>
        <w:rPr>
          <w:rFonts w:ascii="Arial" w:cs="Arial" w:eastAsia="Arial" w:hAnsi="Arial"/>
          <w:sz w:val="19"/>
          <w:szCs w:val="19"/>
        </w:rPr>
        <w:t xml:space="preserve">Finance report 71.6% and Operations report 64.2%. Both are arithmetically correct; they measure different things. Rebuilding both from the TMS data reproduces the gap (65.5% vs 72.4%) and shows exactly where it comes from.</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2000"/>
        <w:gridCol w:w="4133"/>
        <w:gridCol w:w="4133"/>
      </w:tblGrid>
      <w:tr>
        <w:trPr>
          <w:cantSplit/>
          <w:tblHeader/>
        </w:trPr>
        <w:tc>
          <w:tcPr>
            <w:tcW w:type="dxa" w:w="20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
            </w:r>
          </w:p>
        </w:tc>
        <w:tc>
          <w:tcPr>
            <w:tcW w:type="dxa" w:w="4133"/>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TU-S: Sessions-based (Operations)</w:t>
            </w:r>
          </w:p>
        </w:tc>
        <w:tc>
          <w:tcPr>
            <w:tcW w:type="dxa" w:w="4133"/>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TU-H: Hours-based (Finance)</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Formula</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Sessions used (capped at available) ÷ sessions available</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(Sessions used × 4 hours + overrun minutes) ÷ scheduled hours</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Theatres</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Elective T1–T3</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All four, including T4 emergency and trauma</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Overruns</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Not counted</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Counted as productive time</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Reported figure</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64.2%</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71.6%</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Drivers of the gap</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t>
            </w:r>
          </w:p>
        </w:tc>
        <w:tc>
          <w:tcPr>
            <w:tcW w:type="dxa" w:w="413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T4 runs at ~80% (+5.0 points); overruns credited (+1.6 points)</w:t>
            </w:r>
          </w:p>
        </w:tc>
      </w:tr>
      <w:tr>
        <w:trPr>
          <w:cantSplit/>
        </w:trPr>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Status</w:t>
            </w:r>
          </w:p>
        </w:tc>
        <w:tc>
          <w:tcPr>
            <w:tcW w:type="dxa" w:w="4133"/>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b/>
                <w:bCs/>
                <w:sz w:val="16"/>
                <w:szCs w:val="16"/>
              </w:rPr>
              <w:t xml:space="preserve">NHS-COMPARABLE STANDARD — benchmarked against GIRFT 85%</w:t>
            </w:r>
          </w:p>
        </w:tc>
        <w:tc>
          <w:tcPr>
            <w:tcW w:type="dxa" w:w="4133"/>
            <w:tcBorders>
              <w:top w:val="single" w:color="BFBFBF" w:sz="4"/>
              <w:left w:val="single" w:color="BFBFBF" w:sz="4"/>
              <w:bottom w:val="single" w:color="BFBFBF" w:sz="4"/>
              <w:right w:val="single" w:color="BFBFBF" w:sz="4"/>
            </w:tcBorders>
            <w:shd w:fill="FFE699" w:color="auto" w:val="clear"/>
            <w:tcMar>
              <w:top w:type="dxa" w:w="30"/>
              <w:left w:type="dxa" w:w="70"/>
              <w:bottom w:type="dxa" w:w="30"/>
              <w:right w:type="dxa" w:w="70"/>
            </w:tcMar>
          </w:tcPr>
          <w:p>
            <w:pPr>
              <w:jc w:val="left"/>
            </w:pPr>
            <w:r>
              <w:rPr>
                <w:rFonts w:ascii="Arial" w:cs="Arial" w:eastAsia="Arial" w:hAnsi="Arial"/>
                <w:sz w:val="16"/>
                <w:szCs w:val="16"/>
              </w:rPr>
              <w:t xml:space="preserve">FINANCE VIEW — not benchmarked</w:t>
            </w:r>
          </w:p>
        </w:tc>
      </w:tr>
    </w:tbl>
    <w:p>
      <w:pPr>
        <w:spacing w:after="80" w:before="80"/>
      </w:pPr>
      <w:r>
        <w:rPr>
          <w:rFonts w:ascii="Arial" w:cs="Arial" w:eastAsia="Arial" w:hAnsi="Arial"/>
          <w:b/>
          <w:bCs/>
          <w:sz w:val="19"/>
          <w:szCs w:val="19"/>
        </w:rPr>
        <w:t xml:space="preserve">Which is the NHS standard? </w:t>
      </w:r>
      <w:r>
        <w:rPr>
          <w:rFonts w:ascii="Arial" w:cs="Arial" w:eastAsia="Arial" w:hAnsi="Arial"/>
          <w:sz w:val="19"/>
          <w:szCs w:val="19"/>
        </w:rPr>
        <w:t xml:space="preserve">The sessions-based measure (TU-S). It covers planned elective sessions and excludes overrun time, which is how the GIRFT 85% ambition is framed (capped utilisation). TU-H is a valid cost-recovery view for Finance but includes the emergency theatre and rewards over-running lists, so it cannot be compared with 85%.</w:t>
      </w:r>
    </w:p>
    <w:p>
      <w:pPr>
        <w:keepNext/>
        <w:spacing w:after="80" w:before="0"/>
      </w:pPr>
      <w:r>
        <w:rPr>
          <w:rFonts w:ascii="Arial" w:cs="Arial" w:eastAsia="Arial" w:hAnsi="Arial"/>
          <w:b/>
          <w:bCs/>
          <w:sz w:val="19"/>
          <w:szCs w:val="19"/>
        </w:rPr>
        <w:t xml:space="preserve">Dashboard recommendation (Phase 6):</w:t>
      </w:r>
    </w:p>
    <w:p>
      <w:pPr>
        <w:pStyle w:val="ListParagraph"/>
        <w:numPr>
          <w:ilvl w:val="0"/>
          <w:numId w:val="3"/>
        </w:numPr>
        <w:spacing w:after="80" w:before="0"/>
      </w:pPr>
      <w:r>
        <w:rPr>
          <w:rFonts w:ascii="Arial" w:cs="Arial" w:eastAsia="Arial" w:hAnsi="Arial"/>
          <w:b/>
          <w:bCs/>
          <w:sz w:val="19"/>
          <w:szCs w:val="19"/>
        </w:rPr>
        <w:t xml:space="preserve">Headline tile: </w:t>
      </w:r>
      <w:r>
        <w:rPr>
          <w:rFonts w:ascii="Arial" w:cs="Arial" w:eastAsia="Arial" w:hAnsi="Arial"/>
          <w:sz w:val="19"/>
          <w:szCs w:val="19"/>
        </w:rPr>
        <w:t xml:space="preserve">“Theatre Utilisation — Sessions (elective T1–T3)” with RAG against 85%. This is the only theatre figure on the Board scorecard.</w:t>
      </w:r>
    </w:p>
    <w:p>
      <w:pPr>
        <w:pStyle w:val="ListParagraph"/>
        <w:numPr>
          <w:ilvl w:val="0"/>
          <w:numId w:val="3"/>
        </w:numPr>
        <w:spacing w:after="80" w:before="0"/>
      </w:pPr>
      <w:r>
        <w:rPr>
          <w:rFonts w:ascii="Arial" w:cs="Arial" w:eastAsia="Arial" w:hAnsi="Arial"/>
          <w:b/>
          <w:bCs/>
          <w:sz w:val="19"/>
          <w:szCs w:val="19"/>
        </w:rPr>
        <w:t xml:space="preserve">Secondary tile on the Finance and Theatres pages: </w:t>
      </w:r>
      <w:r>
        <w:rPr>
          <w:rFonts w:ascii="Arial" w:cs="Arial" w:eastAsia="Arial" w:hAnsi="Arial"/>
          <w:sz w:val="19"/>
          <w:szCs w:val="19"/>
        </w:rPr>
        <w:t xml:space="preserve">“Theatre Hours Utilisation — Finance view (all theatres, incl. overruns)”, grey, no RAG, with a tooltip: “Not comparable with the NHS 85% benchmark”.</w:t>
      </w:r>
    </w:p>
    <w:p>
      <w:pPr>
        <w:pStyle w:val="ListParagraph"/>
        <w:numPr>
          <w:ilvl w:val="0"/>
          <w:numId w:val="3"/>
        </w:numPr>
        <w:spacing w:after="80" w:before="0"/>
      </w:pPr>
      <w:r>
        <w:rPr>
          <w:rFonts w:ascii="Arial" w:cs="Arial" w:eastAsia="Arial" w:hAnsi="Arial"/>
          <w:b/>
          <w:bCs/>
          <w:sz w:val="19"/>
          <w:szCs w:val="19"/>
        </w:rPr>
        <w:t xml:space="preserve">Trend chart: </w:t>
      </w:r>
      <w:r>
        <w:rPr>
          <w:rFonts w:ascii="Arial" w:cs="Arial" w:eastAsia="Arial" w:hAnsi="Arial"/>
          <w:sz w:val="19"/>
          <w:szCs w:val="19"/>
        </w:rPr>
        <w:t xml:space="preserve">both lines on one chart, labelled TU-S and TU-H, with the 85% reference line applied to TU-S only.</w:t>
      </w:r>
    </w:p>
    <w:p>
      <w:pPr>
        <w:pStyle w:val="ListParagraph"/>
        <w:numPr>
          <w:ilvl w:val="0"/>
          <w:numId w:val="3"/>
        </w:numPr>
        <w:spacing w:after="80" w:before="0"/>
      </w:pPr>
      <w:r>
        <w:rPr>
          <w:rFonts w:ascii="Arial" w:cs="Arial" w:eastAsia="Arial" w:hAnsi="Arial"/>
          <w:b/>
          <w:bCs/>
          <w:sz w:val="19"/>
          <w:szCs w:val="19"/>
        </w:rPr>
        <w:t xml:space="preserve">Naming rule: </w:t>
      </w:r>
      <w:r>
        <w:rPr>
          <w:rFonts w:ascii="Arial" w:cs="Arial" w:eastAsia="Arial" w:hAnsi="Arial"/>
          <w:sz w:val="19"/>
          <w:szCs w:val="19"/>
        </w:rPr>
        <w:t xml:space="preserve">the phrase “theatre utilisation” is never used without the qualifier “Sessions” or “Hours”. This is what stops the dispute returning.</w:t>
      </w:r>
    </w:p>
    <w:p>
      <w:pPr>
        <w:pStyle w:val="ListParagraph"/>
        <w:numPr>
          <w:ilvl w:val="0"/>
          <w:numId w:val="3"/>
        </w:numPr>
        <w:spacing w:after="80" w:before="0"/>
      </w:pPr>
      <w:r>
        <w:rPr>
          <w:rFonts w:ascii="Arial" w:cs="Arial" w:eastAsia="Arial" w:hAnsi="Arial"/>
          <w:b/>
          <w:bCs/>
          <w:sz w:val="19"/>
          <w:szCs w:val="19"/>
        </w:rPr>
        <w:t xml:space="preserve">Future state: </w:t>
      </w:r>
      <w:r>
        <w:rPr>
          <w:rFonts w:ascii="Arial" w:cs="Arial" w:eastAsia="Arial" w:hAnsi="Arial"/>
          <w:sz w:val="19"/>
          <w:szCs w:val="19"/>
        </w:rPr>
        <w:t xml:space="preserve">adopt full GIRFT capped touch-time once TMS exports actual start and finish times; it will replace TU-S as the headline.</w:t>
      </w:r>
    </w:p>
    <w:p>
      <w:pPr>
        <w:spacing w:after="80" w:before="0"/>
      </w:pPr>
      <w:r>
        <w:rPr>
          <w:rFonts w:ascii="Arial" w:cs="Arial" w:eastAsia="Arial" w:hAnsi="Arial"/>
          <w:b/>
          <w:bCs/>
          <w:sz w:val="19"/>
          <w:szCs w:val="19"/>
        </w:rPr>
        <w:t xml:space="preserve">Data rules: </w:t>
      </w:r>
      <w:r>
        <w:rPr>
          <w:rFonts w:ascii="Arial" w:cs="Arial" w:eastAsia="Arial" w:hAnsi="Arial"/>
          <w:sz w:val="19"/>
          <w:szCs w:val="19"/>
        </w:rPr>
        <w:t xml:space="preserve">neither measure uses the Utilisation_Pct column (wrong in 7 rows); weeks where sessions used exceed sessions available are corrected at source, not by the old workaround rule.</w:t>
      </w:r>
    </w:p>
    <w:p>
      <w:pPr>
        <w:pStyle w:val="Heading1"/>
        <w:keepNext/>
        <w:pBdr>
          <w:bottom w:val="single" w:color="005EB8" w:sz="6" w:space="1"/>
        </w:pBdr>
        <w:spacing w:after="80" w:before="220"/>
      </w:pPr>
      <w:r>
        <w:rPr>
          <w:rFonts w:ascii="Arial" w:cs="Arial" w:eastAsia="Arial" w:hAnsi="Arial"/>
          <w:b/>
          <w:bCs/>
          <w:color w:val="003087"/>
          <w:sz w:val="26"/>
          <w:szCs w:val="26"/>
        </w:rPr>
        <w:t xml:space="preserve">5. DNA rate — the agreed formula and why the three previous versions were wrong</w:t>
      </w:r>
    </w:p>
    <w:p>
      <w:pPr>
        <w:pBdr>
          <w:left w:val="single" w:color="005EB8" w:sz="24" w:space="6"/>
        </w:pBdr>
        <w:shd w:fill="E8F1FB" w:color="auto" w:val="clear"/>
        <w:spacing w:after="120"/>
      </w:pPr>
      <w:r>
        <w:rPr>
          <w:rFonts w:ascii="Arial" w:cs="Arial" w:eastAsia="Arial" w:hAnsi="Arial"/>
          <w:b/>
          <w:bCs/>
          <w:color w:val="003087"/>
          <w:sz w:val="19"/>
          <w:szCs w:val="19"/>
        </w:rPr>
        <w:t xml:space="preserve">Revision note (v1.1): </w:t>
      </w:r>
      <w:r>
        <w:rPr>
          <w:rFonts w:ascii="Arial" w:cs="Arial" w:eastAsia="Arial" w:hAnsi="Arial"/>
          <w:sz w:val="19"/>
          <w:szCs w:val="19"/>
        </w:rPr>
        <w:t xml:space="preserve">This section has been updated to set out the single DNA rate formula that Bronings will use from now on. The DNA rate is the number of appointments where the patient did not attend (DNA) divided by all booked appointments with a valid outcome — attended (ATT), did not attend (DNA), cancelled by the Trust (CAN) and refused (REF) — multiplied by 100. Applied to the validated Q1 2025 outpatient data, this gives </w:t>
      </w:r>
      <w:r>
        <w:rPr>
          <w:rFonts w:ascii="Arial" w:cs="Arial" w:eastAsia="Arial" w:hAnsi="Arial"/>
          <w:b/>
          <w:bCs/>
          <w:sz w:val="19"/>
          <w:szCs w:val="19"/>
        </w:rPr>
        <w:t xml:space="preserve">13.1%</w:t>
      </w:r>
      <w:r>
        <w:rPr>
          <w:rFonts w:ascii="Arial" w:cs="Arial" w:eastAsia="Arial" w:hAnsi="Arial"/>
          <w:sz w:val="19"/>
          <w:szCs w:val="19"/>
        </w:rPr>
        <w:t xml:space="preserve"> (76 DNAs out of 579 appointments). This replaces the three conflicting figures previously reported to the Board (9.8%, 12.4% and 14.1%), none of which was calculated correctly: Version A counted the header row, Version B was a fixed number typed in in September 2024, and Version C measured a different time period. Every dashboard, Board report and NHS England submission will now use this one formula, calculated live from the source data each quarter and owned by the Performance Manager, so the same question will always produce the same answer.</w:t>
      </w:r>
    </w:p>
    <w:p>
      <w:pPr>
        <w:spacing w:after="40" w:before="0"/>
      </w:pPr>
      <w:r>
        <w:rPr>
          <w:rFonts w:ascii="Arial" w:cs="Arial" w:eastAsia="Arial" w:hAnsi="Arial"/>
          <w:b/>
          <w:bCs/>
          <w:sz w:val="19"/>
          <w:szCs w:val="19"/>
        </w:rPr>
        <w:t xml:space="preserve">Agreed formula: </w:t>
      </w:r>
      <w:r>
        <w:rPr>
          <w:rFonts w:ascii="Arial" w:cs="Arial" w:eastAsia="Arial" w:hAnsi="Arial"/>
          <w:b/>
          <w:bCs/>
          <w:sz w:val="19"/>
          <w:szCs w:val="19"/>
        </w:rPr>
        <w:t xml:space="preserve">DNA rate = DNA / (ATT + DNA + CAN + REF) × 100</w:t>
      </w:r>
    </w:p>
    <w:p>
      <w:pPr>
        <w:spacing w:after="80" w:before="0"/>
      </w:pPr>
      <w:r>
        <w:rPr>
          <w:rFonts w:ascii="Arial" w:cs="Arial" w:eastAsia="Arial" w:hAnsi="Arial"/>
          <w:sz w:val="19"/>
          <w:szCs w:val="19"/>
        </w:rPr>
        <w:t xml:space="preserve">In Excel: =COUNTIF(Attendance_Status,"DNA") / (COUNTIF(Attendance_Status,"ATT") + COUNTIF(Attendance_Status,"DNA") + COUNTIF(Attendance_Status,"CAN") + COUNTIF(Attendance_Status,"REF")) × 100. The denominator is every booked appointment with a valid status code. The header row, blank cells and non-standard values ('attended' is first corrected to ATT; 'N/A' is excluded) are never counted. Reported per financial quarter from one live formula with one owner (Performance Manager).</w:t>
      </w:r>
    </w:p>
    <w:p>
      <w:pPr>
        <w:spacing w:after="80" w:before="40"/>
      </w:pPr>
      <w:r>
        <w:rPr>
          <w:rFonts w:ascii="Arial" w:cs="Arial" w:eastAsia="Arial" w:hAnsi="Arial"/>
          <w:b/>
          <w:bCs/>
          <w:color w:val="003087"/>
          <w:sz w:val="22"/>
          <w:szCs w:val="22"/>
        </w:rPr>
        <w:t xml:space="preserve">Correct figure for Q1 2025: 13.1%</w:t>
      </w:r>
      <w:r>
        <w:rPr>
          <w:rFonts w:ascii="Arial" w:cs="Arial" w:eastAsia="Arial" w:hAnsi="Arial"/>
          <w:sz w:val="19"/>
          <w:szCs w:val="19"/>
        </w:rPr>
        <w:t xml:space="preserve">  (76 DNAs ÷ 579 valid appointments: 464 ATT + 76 DNA + 33 CAN + 6 REF)</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900"/>
        <w:gridCol w:w="5166"/>
      </w:tblGrid>
      <w:tr>
        <w:trPr>
          <w:cantSplit/>
          <w:tblHeader/>
        </w:trPr>
        <w:tc>
          <w:tcPr>
            <w:tcW w:type="dxa" w:w="14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Version</w:t>
            </w:r>
          </w:p>
        </w:tc>
        <w:tc>
          <w:tcPr>
            <w:tcW w:type="dxa" w:w="8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Figure</w:t>
            </w:r>
          </w:p>
        </w:tc>
        <w:tc>
          <w:tcPr>
            <w:tcW w:type="dxa" w:w="29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Where it came from</w:t>
            </w:r>
          </w:p>
        </w:tc>
        <w:tc>
          <w:tcPr>
            <w:tcW w:type="dxa" w:w="516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Why it was wrong</w:t>
            </w:r>
          </w:p>
        </w:tc>
      </w:tr>
      <w:tr>
        <w:trPr>
          <w:cantSplit/>
        </w:trP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 — Operations</w:t>
            </w:r>
          </w:p>
        </w:tc>
        <w:tc>
          <w:tcPr>
            <w:tcW w:type="dxa" w:w="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9.8%</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KPI_Summary!D14: =COUNTIF(F:F,"DNA")/COUNTA(F:F)</w:t>
            </w:r>
          </w:p>
        </w:tc>
        <w:tc>
          <w:tcPr>
            <w:tcW w:type="dxa" w:w="51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Included the header row. COUNTA counts every non-empty cell in the column, including the header, so the denominator is wrong. The whole-column reference also picks up any non-standard values.</w:t>
            </w:r>
          </w:p>
        </w:tc>
      </w:tr>
      <w:tr>
        <w:trPr>
          <w:cantSplit/>
        </w:trP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 — Finance</w:t>
            </w:r>
          </w:p>
        </w:tc>
        <w:tc>
          <w:tcPr>
            <w:tcW w:type="dxa" w:w="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12.4%</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Finance_Reconciliation!B7</w:t>
            </w:r>
          </w:p>
        </w:tc>
        <w:tc>
          <w:tcPr>
            <w:tcW w:type="dxa" w:w="51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Hardcoded from September 2024. A typed-in number, not linked to any data, so it cannot reflect current performance — yet it was the figure going to the Board.</w:t>
            </w:r>
          </w:p>
        </w:tc>
      </w:tr>
      <w:tr>
        <w:trPr>
          <w:cantSplit/>
        </w:trP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C — PAS report</w:t>
            </w:r>
          </w:p>
        </w:tc>
        <w:tc>
          <w:tcPr>
            <w:tcW w:type="dxa" w:w="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14.1%</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PAS reporting module</w:t>
            </w:r>
          </w:p>
        </w:tc>
        <w:tc>
          <w:tcPr>
            <w:tcW w:type="dxa" w:w="51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Used a different date range. It filters by calendar month instead of the financial quarter, so it measures a different period from the Board report. Because DNA outcomes are recorded late (January 25.8%, February 10.9%, March 3.7%), single-month figures swing widely.</w:t>
            </w:r>
          </w:p>
        </w:tc>
      </w:tr>
      <w:tr>
        <w:trPr>
          <w:cantSplit/>
        </w:trPr>
        <w:tc>
          <w:tcPr>
            <w:tcW w:type="dxa" w:w="1400"/>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b/>
                <w:bCs/>
                <w:sz w:val="16"/>
                <w:szCs w:val="16"/>
              </w:rPr>
              <w:t xml:space="preserve">AGREED</w:t>
            </w:r>
          </w:p>
        </w:tc>
        <w:tc>
          <w:tcPr>
            <w:tcW w:type="dxa" w:w="800"/>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b/>
                <w:bCs/>
                <w:sz w:val="16"/>
                <w:szCs w:val="16"/>
              </w:rPr>
              <w:t xml:space="preserve">13.1%</w:t>
            </w:r>
          </w:p>
        </w:tc>
        <w:tc>
          <w:tcPr>
            <w:tcW w:type="dxa" w:w="2900"/>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b/>
                <w:bCs/>
                <w:sz w:val="16"/>
                <w:szCs w:val="16"/>
              </w:rPr>
              <w:t xml:space="preserve">DNA / (ATT + DNA + CAN + REF) × 100</w:t>
            </w:r>
          </w:p>
        </w:tc>
        <w:tc>
          <w:tcPr>
            <w:tcW w:type="dxa" w:w="5166"/>
            <w:tcBorders>
              <w:top w:val="single" w:color="BFBFBF" w:sz="4"/>
              <w:left w:val="single" w:color="BFBFBF" w:sz="4"/>
              <w:bottom w:val="single" w:color="BFBFBF" w:sz="4"/>
              <w:right w:val="single" w:color="BFBFBF" w:sz="4"/>
            </w:tcBorders>
            <w:shd w:fill="C6EFCE" w:color="auto" w:val="clear"/>
            <w:tcMar>
              <w:top w:type="dxa" w:w="30"/>
              <w:left w:type="dxa" w:w="70"/>
              <w:bottom w:type="dxa" w:w="30"/>
              <w:right w:type="dxa" w:w="70"/>
            </w:tcMar>
          </w:tcPr>
          <w:p>
            <w:pPr>
              <w:jc w:val="left"/>
            </w:pPr>
            <w:r>
              <w:rPr>
                <w:rFonts w:ascii="Arial" w:cs="Arial" w:eastAsia="Arial" w:hAnsi="Arial"/>
                <w:sz w:val="16"/>
                <w:szCs w:val="16"/>
              </w:rPr>
              <w:t xml:space="preserve">One live formula on the validated Q1 2025 data; valid status codes only; fixed quarterly period; one owner.</w:t>
            </w:r>
          </w:p>
        </w:tc>
      </w:tr>
    </w:tbl>
    <w:p>
      <w:pPr>
        <w:spacing w:after="80" w:before="80"/>
      </w:pPr>
      <w:r>
        <w:rPr>
          <w:rFonts w:ascii="Arial" w:cs="Arial" w:eastAsia="Arial" w:hAnsi="Arial"/>
          <w:b/>
          <w:bCs/>
          <w:sz w:val="19"/>
          <w:szCs w:val="19"/>
        </w:rPr>
        <w:t xml:space="preserve">Benchmarking note: </w:t>
      </w:r>
      <w:r>
        <w:rPr>
          <w:rFonts w:ascii="Arial" w:cs="Arial" w:eastAsia="Arial" w:hAnsi="Arial"/>
          <w:sz w:val="19"/>
          <w:szCs w:val="19"/>
        </w:rPr>
        <w:t xml:space="preserve">NHS England's national outpatient statistics exclude cancellations from the denominator; on that basis the same data gives 13.92%. Both are well above the 8% Trust target. The Trust figure on every dashboard and Board report is 13.1%; the national-basis figure is used only when comparing with published national averages, and is labelled as such.</w:t>
      </w:r>
    </w:p>
    <w:p>
      <w:pPr>
        <w:pStyle w:val="Heading1"/>
        <w:keepNext/>
        <w:pBdr>
          <w:bottom w:val="single" w:color="005EB8" w:sz="6" w:space="1"/>
        </w:pBdr>
        <w:spacing w:after="80" w:before="220"/>
      </w:pPr>
      <w:r>
        <w:rPr>
          <w:rFonts w:ascii="Arial" w:cs="Arial" w:eastAsia="Arial" w:hAnsi="Arial"/>
          <w:b/>
          <w:bCs/>
          <w:color w:val="003087"/>
          <w:sz w:val="26"/>
          <w:szCs w:val="26"/>
        </w:rPr>
        <w:t xml:space="preserve">6. Decisions to record at the workshop</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566"/>
        <w:gridCol w:w="2500"/>
      </w:tblGrid>
      <w:tr>
        <w:trPr>
          <w:cantSplit/>
          <w:tblHeader/>
        </w:trPr>
        <w:tc>
          <w:tcPr>
            <w:tcW w:type="dxa" w:w="4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w:t>
            </w:r>
          </w:p>
        </w:tc>
        <w:tc>
          <w:tcPr>
            <w:tcW w:type="dxa" w:w="28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Decision</w:t>
            </w:r>
          </w:p>
        </w:tc>
        <w:tc>
          <w:tcPr>
            <w:tcW w:type="dxa" w:w="456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Recommendation</w:t>
            </w:r>
          </w:p>
        </w:tc>
        <w:tc>
          <w:tcPr>
            <w:tcW w:type="dxa" w:w="25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Owner</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1</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Theatre utilisation definition</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TU-S headline; TU-H secondary, labelled (Section 4)</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Director + Director of Operations</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2</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DNA formula</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Adopt DNA / (ATT + DNA + CAN + REF) × 100, quarterly; retire Versions A, B and C</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3</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Meaning of ED code 'LEFT' (120 rows)</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Define with ED; if 'left before being seen', map to LWBS</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ED Clinical Lead</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4</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Readmission flag logic</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Back-fill blanks by 30-day date rule; Clinical Coding to align EHR logic</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5</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RTT Board figure</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Withhold 74.8% until the full PTL is re-validated (extract shows 41.98%)</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r>
      <w:tr>
        <w:trPr>
          <w:cantSplit/>
        </w:trPr>
        <w:tc>
          <w:tcPr>
            <w:tcW w:type="dxa" w:w="4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6</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Agency target</w:t>
            </w:r>
          </w:p>
        </w:tc>
        <w:tc>
          <w:tcPr>
            <w:tcW w:type="dxa" w:w="4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Glide path from &lt;8% to the 3.2% national cap</w:t>
            </w:r>
          </w:p>
        </w:tc>
        <w:tc>
          <w:tcPr>
            <w:tcW w:type="dxa" w:w="25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Director</w:t>
            </w:r>
          </w:p>
        </w:tc>
      </w:tr>
    </w:tbl>
    <w:p>
      <w:pPr>
        <w:pStyle w:val="Heading1"/>
        <w:keepNext/>
        <w:pBdr>
          <w:bottom w:val="single" w:color="005EB8" w:sz="6" w:space="1"/>
        </w:pBdr>
        <w:spacing w:after="80" w:before="220"/>
      </w:pPr>
      <w:r>
        <w:rPr>
          <w:rFonts w:ascii="Arial" w:cs="Arial" w:eastAsia="Arial" w:hAnsi="Arial"/>
          <w:b/>
          <w:bCs/>
          <w:color w:val="003087"/>
          <w:sz w:val="26"/>
          <w:szCs w:val="26"/>
        </w:rPr>
        <w:t xml:space="preserve">7. Governance and change control</w:t>
      </w:r>
    </w:p>
    <w:p>
      <w:pPr>
        <w:pStyle w:val="ListParagraph"/>
        <w:numPr>
          <w:ilvl w:val="0"/>
          <w:numId w:val="2"/>
        </w:numPr>
        <w:spacing w:after="80" w:before="0"/>
      </w:pPr>
      <w:r>
        <w:rPr>
          <w:rFonts w:ascii="Arial" w:cs="Arial" w:eastAsia="Arial" w:hAnsi="Arial"/>
          <w:b/>
          <w:bCs/>
          <w:sz w:val="19"/>
          <w:szCs w:val="19"/>
        </w:rPr>
        <w:t xml:space="preserve">Single source: </w:t>
      </w:r>
      <w:r>
        <w:rPr>
          <w:rFonts w:ascii="Arial" w:cs="Arial" w:eastAsia="Arial" w:hAnsi="Arial"/>
          <w:sz w:val="19"/>
          <w:szCs w:val="19"/>
        </w:rPr>
        <w:t xml:space="preserve">formulas are implemented once, as SQL views in BroningsAnalytics, and every dashboard reads from those views.</w:t>
      </w:r>
    </w:p>
    <w:p>
      <w:pPr>
        <w:pStyle w:val="ListParagraph"/>
        <w:numPr>
          <w:ilvl w:val="0"/>
          <w:numId w:val="2"/>
        </w:numPr>
        <w:spacing w:after="80" w:before="0"/>
      </w:pPr>
      <w:r>
        <w:rPr>
          <w:rFonts w:ascii="Arial" w:cs="Arial" w:eastAsia="Arial" w:hAnsi="Arial"/>
          <w:b/>
          <w:bCs/>
          <w:sz w:val="19"/>
          <w:szCs w:val="19"/>
        </w:rPr>
        <w:t xml:space="preserve">Change control: </w:t>
      </w:r>
      <w:r>
        <w:rPr>
          <w:rFonts w:ascii="Arial" w:cs="Arial" w:eastAsia="Arial" w:hAnsi="Arial"/>
          <w:sz w:val="19"/>
          <w:szCs w:val="19"/>
        </w:rPr>
        <w:t xml:space="preserve">any change to a formula, source or target requires the KPI owner's request, analyst impact assessment, and approval by the Director of Operations; the version number and change log are updated.</w:t>
      </w:r>
    </w:p>
    <w:p>
      <w:pPr>
        <w:pStyle w:val="ListParagraph"/>
        <w:numPr>
          <w:ilvl w:val="0"/>
          <w:numId w:val="2"/>
        </w:numPr>
        <w:spacing w:after="80" w:before="0"/>
      </w:pPr>
      <w:r>
        <w:rPr>
          <w:rFonts w:ascii="Arial" w:cs="Arial" w:eastAsia="Arial" w:hAnsi="Arial"/>
          <w:b/>
          <w:bCs/>
          <w:sz w:val="19"/>
          <w:szCs w:val="19"/>
        </w:rPr>
        <w:t xml:space="preserve">Review cycle: </w:t>
      </w:r>
      <w:r>
        <w:rPr>
          <w:rFonts w:ascii="Arial" w:cs="Arial" w:eastAsia="Arial" w:hAnsi="Arial"/>
          <w:sz w:val="19"/>
          <w:szCs w:val="19"/>
        </w:rPr>
        <w:t xml:space="preserve">targets reviewed quarterly and when NHS England planning guidance changes; data quality rules reviewed monthly with the DQ Issue Log.</w:t>
      </w:r>
    </w:p>
    <w:p>
      <w:pPr>
        <w:pStyle w:val="ListParagraph"/>
        <w:numPr>
          <w:ilvl w:val="0"/>
          <w:numId w:val="2"/>
        </w:numPr>
        <w:spacing w:after="80" w:before="0"/>
      </w:pPr>
      <w:r>
        <w:rPr>
          <w:rFonts w:ascii="Arial" w:cs="Arial" w:eastAsia="Arial" w:hAnsi="Arial"/>
          <w:b/>
          <w:bCs/>
          <w:sz w:val="19"/>
          <w:szCs w:val="19"/>
        </w:rPr>
        <w:t xml:space="preserve">Data gaps to close before Phase 6: </w:t>
      </w:r>
      <w:r>
        <w:rPr>
          <w:rFonts w:ascii="Arial" w:cs="Arial" w:eastAsia="Arial" w:hAnsi="Arial"/>
          <w:sz w:val="19"/>
          <w:szCs w:val="19"/>
        </w:rPr>
        <w:t xml:space="preserve">bed base by ward (BOR), Finance ledger (CPE, AGY% cost basis), incident data (PSIR), establishment (VAC), full RTT waiting list, linked patient identifier across PAS/EHR/EDIS.</w:t>
      </w:r>
    </w:p>
    <w:p>
      <w:pPr>
        <w:pStyle w:val="Heading1"/>
        <w:keepNext/>
        <w:pBdr>
          <w:bottom w:val="single" w:color="005EB8" w:sz="6" w:space="1"/>
        </w:pBdr>
        <w:spacing w:after="80" w:before="220"/>
      </w:pPr>
      <w:r>
        <w:rPr>
          <w:rFonts w:ascii="Arial" w:cs="Arial" w:eastAsia="Arial" w:hAnsi="Arial"/>
          <w:b/>
          <w:bCs/>
          <w:color w:val="003087"/>
          <w:sz w:val="26"/>
          <w:szCs w:val="26"/>
        </w:rPr>
        <w:t xml:space="preserve">8. Sign-off</w:t>
      </w:r>
    </w:p>
    <w:p>
      <w:pPr>
        <w:spacing w:after="80" w:before="0"/>
      </w:pPr>
      <w:r>
        <w:rPr>
          <w:rFonts w:ascii="Arial" w:cs="Arial" w:eastAsia="Arial" w:hAnsi="Arial"/>
          <w:sz w:val="19"/>
          <w:szCs w:val="19"/>
        </w:rPr>
        <w:t xml:space="preserve">By signing, approvers agree that the definitions in Sections 3–5 are the only definitions used for Board reporting, dashboards and NHS England submissions from the effective date.</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800"/>
        <w:gridCol w:w="1866"/>
      </w:tblGrid>
      <w:tr>
        <w:trPr>
          <w:cantSplit/>
          <w:tblHeader/>
        </w:trPr>
        <w:tc>
          <w:tcPr>
            <w:tcW w:type="dxa" w:w="30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Role</w:t>
            </w:r>
          </w:p>
        </w:tc>
        <w:tc>
          <w:tcPr>
            <w:tcW w:type="dxa" w:w="26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Name</w:t>
            </w:r>
          </w:p>
        </w:tc>
        <w:tc>
          <w:tcPr>
            <w:tcW w:type="dxa" w:w="28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Signature</w:t>
            </w:r>
          </w:p>
        </w:tc>
        <w:tc>
          <w:tcPr>
            <w:tcW w:type="dxa" w:w="186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pPr>
              <w:jc w:val="left"/>
            </w:pPr>
            <w:r>
              <w:rPr>
                <w:rFonts w:ascii="Arial" w:cs="Arial" w:eastAsia="Arial" w:hAnsi="Arial"/>
                <w:b/>
                <w:bCs/>
                <w:color w:val="FFFFFF"/>
                <w:sz w:val="16"/>
                <w:szCs w:val="16"/>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Director of Operations</w:t>
            </w:r>
          </w:p>
        </w:tc>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Tom Nguyen</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1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Finance Director</w:t>
            </w:r>
          </w:p>
        </w:tc>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1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Medical Director</w:t>
            </w:r>
          </w:p>
        </w:tc>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1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Performance Manager</w:t>
            </w:r>
          </w:p>
        </w:tc>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Sarah Okafor</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1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Workshop lead / analyst</w:t>
            </w:r>
          </w:p>
        </w:tc>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Lucky Ukeni</w:t>
            </w:r>
          </w:p>
        </w:tc>
        <w:tc>
          <w:tcPr>
            <w:tcW w:type="dxa" w:w="280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c>
          <w:tcPr>
            <w:tcW w:type="dxa" w:w="18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sz w:val="16"/>
                <w:szCs w:val="16"/>
              </w:rPr>
              <w:t xml:space="preserve"/>
            </w:r>
          </w:p>
        </w:tc>
      </w:tr>
    </w:tbl>
    <w:sectPr>
      <w:footerReference w:type="default" r:id="rId7"/>
      <w:pgSz w:w="11906" w:h="16838" w:orient="portrait"/>
      <w:pgMar w:top="820" w:right="820" w:bottom="8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5563"/>
        <w:sz w:val="14"/>
        <w:szCs w:val="14"/>
      </w:rPr>
      <w:t xml:space="preserve">INTERNAL USE ONLY · 18-KPI Framework v1.1 (draft for sign-off) · Page </w:t>
    </w:r>
    <w:r>
      <w:rPr>
        <w:rFonts w:ascii="Arial" w:cs="Arial" w:eastAsia="Arial" w:hAnsi="Arial"/>
        <w:color w:val="42556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2026-10-12T13:34:00.062Z</dcterms:created>
  <dcterms:modified xsi:type="dcterms:W3CDTF">2026-10-12T13:34:00.071Z</dcterms:modified>
</cp:coreProperties>
</file>

<file path=docProps/custom.xml><?xml version="1.0" encoding="utf-8"?>
<Properties xmlns="http://schemas.openxmlformats.org/officeDocument/2006/custom-properties" xmlns:vt="http://schemas.openxmlformats.org/officeDocument/2006/docPropsVTypes"/>
</file>