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Arial" w:cs="Arial" w:eastAsia="Arial" w:hAnsi="Arial"/>
          <w:b/>
          <w:bCs/>
          <w:color w:val="005EB8"/>
          <w:sz w:val="16"/>
          <w:szCs w:val="16"/>
        </w:rPr>
        <w:t xml:space="preserve">BRONINGS UNIVERSITY HOSPITAL GROUP</w:t>
      </w:r>
    </w:p>
    <w:p>
      <w:pPr>
        <w:spacing w:after="30" w:before="0"/>
      </w:pPr>
      <w:r>
        <w:rPr>
          <w:rFonts w:ascii="Arial" w:cs="Arial" w:eastAsia="Arial" w:hAnsi="Arial"/>
          <w:b/>
          <w:bCs/>
          <w:color w:val="003087"/>
          <w:sz w:val="28"/>
          <w:szCs w:val="28"/>
        </w:rPr>
        <w:t xml:space="preserve">Reconciliation Memo: Theatre Utilisation (71.6% vs 64.2%)</w:t>
      </w:r>
    </w:p>
    <w:p>
      <w:pPr>
        <w:spacing w:after="0" w:before="0"/>
      </w:pPr>
      <w:r>
        <w:rPr>
          <w:rFonts w:ascii="Arial" w:cs="Arial" w:eastAsia="Arial" w:hAnsi="Arial"/>
          <w:b/>
          <w:bCs/>
          <w:sz w:val="19"/>
          <w:szCs w:val="19"/>
        </w:rPr>
        <w:t xml:space="preserve">To: </w:t>
      </w:r>
      <w:r>
        <w:rPr>
          <w:rFonts w:ascii="Arial" w:cs="Arial" w:eastAsia="Arial" w:hAnsi="Arial"/>
          <w:sz w:val="19"/>
          <w:szCs w:val="19"/>
        </w:rPr>
        <w:t xml:space="preserve">Priya Chakrabarti, Finance Business Partner   </w:t>
      </w:r>
      <w:r>
        <w:rPr>
          <w:rFonts w:ascii="Arial" w:cs="Arial" w:eastAsia="Arial" w:hAnsi="Arial"/>
          <w:b/>
          <w:bCs/>
          <w:sz w:val="19"/>
          <w:szCs w:val="19"/>
        </w:rPr>
        <w:t xml:space="preserve">Cc: </w:t>
      </w:r>
      <w:r>
        <w:rPr>
          <w:rFonts w:ascii="Arial" w:cs="Arial" w:eastAsia="Arial" w:hAnsi="Arial"/>
          <w:sz w:val="19"/>
          <w:szCs w:val="19"/>
        </w:rPr>
        <w:t xml:space="preserve">Tom Nguyen; [Priya's line manager]</w:t>
      </w:r>
    </w:p>
    <w:p>
      <w:pPr>
        <w:spacing w:after="60" w:before="0"/>
      </w:pPr>
      <w:r>
        <w:rPr>
          <w:rFonts w:ascii="Arial" w:cs="Arial" w:eastAsia="Arial" w:hAnsi="Arial"/>
          <w:b/>
          <w:bCs/>
          <w:sz w:val="19"/>
          <w:szCs w:val="19"/>
        </w:rPr>
        <w:t xml:space="preserve">From: </w:t>
      </w:r>
      <w:r>
        <w:rPr>
          <w:rFonts w:ascii="Arial" w:cs="Arial" w:eastAsia="Arial" w:hAnsi="Arial"/>
          <w:sz w:val="19"/>
          <w:szCs w:val="19"/>
        </w:rPr>
        <w:t xml:space="preserve">Lucky Ukeni, Advanced Healthcare Data Analyst   </w:t>
      </w:r>
      <w:r>
        <w:rPr>
          <w:rFonts w:ascii="Arial" w:cs="Arial" w:eastAsia="Arial" w:hAnsi="Arial"/>
          <w:b/>
          <w:bCs/>
          <w:sz w:val="19"/>
          <w:szCs w:val="19"/>
        </w:rPr>
        <w:t xml:space="preserve">Date: </w:t>
      </w:r>
      <w:r>
        <w:rPr>
          <w:rFonts w:ascii="Arial" w:cs="Arial" w:eastAsia="Arial" w:hAnsi="Arial"/>
          <w:sz w:val="19"/>
          <w:szCs w:val="19"/>
        </w:rPr>
        <w:t xml:space="preserve">[date]   </w:t>
      </w:r>
      <w:r>
        <w:rPr>
          <w:rFonts w:ascii="Arial" w:cs="Arial" w:eastAsia="Arial" w:hAnsi="Arial"/>
          <w:b/>
          <w:bCs/>
          <w:sz w:val="19"/>
          <w:szCs w:val="19"/>
        </w:rPr>
        <w:t xml:space="preserve">For: </w:t>
      </w:r>
      <w:r>
        <w:rPr>
          <w:rFonts w:ascii="Arial" w:cs="Arial" w:eastAsia="Arial" w:hAnsi="Arial"/>
          <w:sz w:val="19"/>
          <w:szCs w:val="19"/>
        </w:rPr>
        <w:t xml:space="preserve">Board meeting [date]</w:t>
      </w:r>
    </w:p>
    <w:p>
      <w:pPr>
        <w:pBdr>
          <w:bottom w:val="single" w:color="005EB8" w:sz="6" w:space="1"/>
        </w:pBdr>
        <w:spacing w:after="50" w:before="120"/>
      </w:pPr>
      <w:r>
        <w:rPr>
          <w:rFonts w:ascii="Arial" w:cs="Arial" w:eastAsia="Arial" w:hAnsi="Arial"/>
          <w:b/>
          <w:bCs/>
          <w:color w:val="003087"/>
          <w:sz w:val="21"/>
          <w:szCs w:val="21"/>
        </w:rPr>
        <w:t xml:space="preserve">1. Summary</w:t>
      </w:r>
    </w:p>
    <w:p>
      <w:pPr>
        <w:spacing w:after="70" w:before="0"/>
      </w:pPr>
      <w:r>
        <w:rPr>
          <w:rFonts w:ascii="Arial" w:cs="Arial" w:eastAsia="Arial" w:hAnsi="Arial"/>
          <w:sz w:val="19"/>
          <w:szCs w:val="19"/>
        </w:rPr>
        <w:t xml:space="preserve">Both figures are arithmetically correct. They measure different things. Operations (64.2%) counts elective theatre sessions used out of sessions available. Finance (71.6%) measures operating hours, including overrun time, across all four theatres. I recommend the Board quotes the Operations figure, and that the Trust adopts the national GIRFT definition going forward.</w:t>
      </w:r>
    </w:p>
    <w:p>
      <w:pPr>
        <w:pBdr>
          <w:bottom w:val="single" w:color="005EB8" w:sz="6" w:space="1"/>
        </w:pBdr>
        <w:spacing w:after="50" w:before="120"/>
      </w:pPr>
      <w:r>
        <w:rPr>
          <w:rFonts w:ascii="Arial" w:cs="Arial" w:eastAsia="Arial" w:hAnsi="Arial"/>
          <w:b/>
          <w:bCs/>
          <w:color w:val="003087"/>
          <w:sz w:val="21"/>
          <w:szCs w:val="21"/>
        </w:rPr>
        <w:t xml:space="preserve">2. Why the figures differ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900"/>
        <w:gridCol w:w="2766"/>
      </w:tblGrid>
      <w:tr>
        <w:tc>
          <w:tcPr>
            <w:tcW w:type="dxa" w:w="19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r>
              <w:rPr>
                <w:rFonts w:ascii="Arial" w:cs="Arial" w:eastAsia="Arial" w:hAnsi="Arial"/>
                <w:b/>
                <w:bCs/>
                <w:color w:val="FFFFFF"/>
                <w:sz w:val="17"/>
                <w:szCs w:val="17"/>
              </w:rPr>
              <w:t xml:space="preserve"/>
            </w:r>
          </w:p>
        </w:tc>
        <w:tc>
          <w:tcPr>
            <w:tcW w:type="dxa" w:w="29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r>
              <w:rPr>
                <w:rFonts w:ascii="Arial" w:cs="Arial" w:eastAsia="Arial" w:hAnsi="Arial"/>
                <w:b/>
                <w:bCs/>
                <w:color w:val="FFFFFF"/>
                <w:sz w:val="17"/>
                <w:szCs w:val="17"/>
              </w:rPr>
              <w:t xml:space="preserve">Operations (64.2%)</w:t>
            </w:r>
          </w:p>
        </w:tc>
        <w:tc>
          <w:tcPr>
            <w:tcW w:type="dxa" w:w="2900"/>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r>
              <w:rPr>
                <w:rFonts w:ascii="Arial" w:cs="Arial" w:eastAsia="Arial" w:hAnsi="Arial"/>
                <w:b/>
                <w:bCs/>
                <w:color w:val="FFFFFF"/>
                <w:sz w:val="17"/>
                <w:szCs w:val="17"/>
              </w:rPr>
              <w:t xml:space="preserve">Finance (71.6%)</w:t>
            </w:r>
          </w:p>
        </w:tc>
        <w:tc>
          <w:tcPr>
            <w:tcW w:type="dxa" w:w="2766"/>
            <w:tcBorders>
              <w:top w:val="single" w:color="BFBFBF" w:sz="4"/>
              <w:left w:val="single" w:color="BFBFBF" w:sz="4"/>
              <w:bottom w:val="single" w:color="BFBFBF" w:sz="4"/>
              <w:right w:val="single" w:color="BFBFBF" w:sz="4"/>
            </w:tcBorders>
            <w:shd w:fill="005EB8" w:color="auto" w:val="clear"/>
            <w:tcMar>
              <w:top w:type="dxa" w:w="30"/>
              <w:left w:type="dxa" w:w="70"/>
              <w:bottom w:type="dxa" w:w="30"/>
              <w:right w:type="dxa" w:w="70"/>
            </w:tcMar>
          </w:tcPr>
          <w:p>
            <w:r>
              <w:rPr>
                <w:rFonts w:ascii="Arial" w:cs="Arial" w:eastAsia="Arial" w:hAnsi="Arial"/>
                <w:b/>
                <w:bCs/>
                <w:color w:val="FFFFFF"/>
                <w:sz w:val="17"/>
                <w:szCs w:val="17"/>
              </w:rPr>
              <w:t xml:space="preserve">Effect on the gap</w:t>
            </w:r>
          </w:p>
        </w:tc>
      </w:tr>
      <w:tr>
        <w:tc>
          <w:tcPr>
            <w:tcW w:type="dxa" w:w="1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bCs/>
                <w:sz w:val="17"/>
                <w:szCs w:val="17"/>
              </w:rPr>
              <w:t xml:space="preserve">Calculation</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Sessions used ÷ sessions available</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(Session hours + overrun minutes) ÷ scheduled hours</w:t>
            </w:r>
          </w:p>
        </w:tc>
        <w:tc>
          <w:tcPr>
            <w:tcW w:type="dxa" w:w="276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Different numerator</w:t>
            </w:r>
          </w:p>
        </w:tc>
      </w:tr>
      <w:tr>
        <w:tc>
          <w:tcPr>
            <w:tcW w:type="dxa" w:w="1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bCs/>
                <w:sz w:val="17"/>
                <w:szCs w:val="17"/>
              </w:rPr>
              <w:t xml:space="preserve">Theatres included</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Elective T1–T3</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All four, including T4 (emergency)</w:t>
            </w:r>
          </w:p>
        </w:tc>
        <w:tc>
          <w:tcPr>
            <w:tcW w:type="dxa" w:w="276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T4 runs at ~80%: adds ~5 points</w:t>
            </w:r>
          </w:p>
        </w:tc>
      </w:tr>
      <w:tr>
        <w:tc>
          <w:tcPr>
            <w:tcW w:type="dxa" w:w="1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bCs/>
                <w:sz w:val="17"/>
                <w:szCs w:val="17"/>
              </w:rPr>
              <w:t xml:space="preserve">Overruns</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Not counted</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Counted as used time</w:t>
            </w:r>
          </w:p>
        </w:tc>
        <w:tc>
          <w:tcPr>
            <w:tcW w:type="dxa" w:w="276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Adds ~1.6 points</w:t>
            </w:r>
          </w:p>
        </w:tc>
      </w:tr>
      <w:tr>
        <w:tc>
          <w:tcPr>
            <w:tcW w:type="dxa" w:w="1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bCs/>
                <w:sz w:val="17"/>
                <w:szCs w:val="17"/>
              </w:rPr>
              <w:t xml:space="preserve">Rebuilt from the TMS extract</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65.7%</w:t>
            </w:r>
          </w:p>
        </w:tc>
        <w:tc>
          <w:tcPr>
            <w:tcW w:type="dxa" w:w="2900"/>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72.4% (4-hour sessions assumed)</w:t>
            </w:r>
          </w:p>
        </w:tc>
        <w:tc>
          <w:tcPr>
            <w:tcW w:type="dxa" w:w="2766"/>
            <w:tcBorders>
              <w:top w:val="single" w:color="BFBFBF" w:sz="4"/>
              <w:left w:val="single" w:color="BFBFBF" w:sz="4"/>
              <w:bottom w:val="single" w:color="BFBFBF" w:sz="4"/>
              <w:right w:val="single" w:color="BFBFBF" w:sz="4"/>
            </w:tcBorders>
            <w:tcMar>
              <w:top w:type="dxa" w:w="30"/>
              <w:left w:type="dxa" w:w="70"/>
              <w:bottom w:type="dxa" w:w="30"/>
              <w:right w:type="dxa" w:w="70"/>
            </w:tcMar>
          </w:tcPr>
          <w:p>
            <w:r>
              <w:rPr>
                <w:rFonts w:ascii="Arial" w:cs="Arial" w:eastAsia="Arial" w:hAnsi="Arial"/>
                <w:b w:val="false"/>
                <w:bCs w:val="false"/>
                <w:sz w:val="17"/>
                <w:szCs w:val="17"/>
              </w:rPr>
              <w:t xml:space="preserve">Same 7-point gap reproduced</w:t>
            </w:r>
          </w:p>
        </w:tc>
      </w:tr>
    </w:tbl>
    <w:p>
      <w:pPr>
        <w:spacing w:after="70" w:before="60"/>
      </w:pPr>
      <w:r>
        <w:rPr>
          <w:rFonts w:ascii="Arial" w:cs="Arial" w:eastAsia="Arial" w:hAnsi="Arial"/>
          <w:b/>
          <w:bCs/>
          <w:sz w:val="19"/>
          <w:szCs w:val="19"/>
        </w:rPr>
        <w:t xml:space="preserve">Data issues affecting both: </w:t>
      </w:r>
      <w:r>
        <w:rPr>
          <w:rFonts w:ascii="Arial" w:cs="Arial" w:eastAsia="Arial" w:hAnsi="Arial"/>
          <w:sz w:val="19"/>
          <w:szCs w:val="19"/>
        </w:rPr>
        <w:t xml:space="preserve">the pre-calculated Utilisation_Pct column is wrong in 7 rows, 4 weeks show more sessions used than available, one row is labelled 'Theatre One' (it is T3), and the existing 'fudge' rule hides the impossible weeks. Both teams should calculate from Sessions_Used and Sessions_Available, never from the Utilisation_Pct column.</w:t>
      </w:r>
    </w:p>
    <w:p>
      <w:pPr>
        <w:spacing w:after="70" w:before="0"/>
      </w:pPr>
      <w:r>
        <w:rPr>
          <w:rFonts w:ascii="Arial" w:cs="Arial" w:eastAsia="Arial" w:hAnsi="Arial"/>
          <w:b/>
          <w:bCs/>
          <w:sz w:val="19"/>
          <w:szCs w:val="19"/>
        </w:rPr>
        <w:t xml:space="preserve">Correction to the handover notes: </w:t>
      </w:r>
      <w:r>
        <w:rPr>
          <w:rFonts w:ascii="Arial" w:cs="Arial" w:eastAsia="Arial" w:hAnsi="Arial"/>
          <w:sz w:val="19"/>
          <w:szCs w:val="19"/>
        </w:rPr>
        <w:t xml:space="preserve">Daniel Walsh's annotation (Operations = sessions, Finance = hours) is right; Jamie Whitfield's note had them the wrong way round.</w:t>
      </w:r>
    </w:p>
    <w:p>
      <w:pPr>
        <w:pBdr>
          <w:bottom w:val="single" w:color="005EB8" w:sz="6" w:space="1"/>
        </w:pBdr>
        <w:spacing w:after="50" w:before="120"/>
      </w:pPr>
      <w:r>
        <w:rPr>
          <w:rFonts w:ascii="Arial" w:cs="Arial" w:eastAsia="Arial" w:hAnsi="Arial"/>
          <w:b/>
          <w:bCs/>
          <w:color w:val="003087"/>
          <w:sz w:val="21"/>
          <w:szCs w:val="21"/>
        </w:rPr>
        <w:t xml:space="preserve">3. Recommendation</w:t>
      </w:r>
    </w:p>
    <w:p>
      <w:pPr>
        <w:pStyle w:val="ListParagraph"/>
        <w:numPr>
          <w:ilvl w:val="0"/>
          <w:numId w:val="2"/>
        </w:numPr>
        <w:spacing w:after="70" w:before="0"/>
      </w:pPr>
      <w:r>
        <w:rPr>
          <w:rFonts w:ascii="Arial" w:cs="Arial" w:eastAsia="Arial" w:hAnsi="Arial"/>
          <w:b/>
          <w:bCs/>
          <w:sz w:val="19"/>
          <w:szCs w:val="19"/>
        </w:rPr>
        <w:t xml:space="preserve">For tomorrow: </w:t>
      </w:r>
      <w:r>
        <w:rPr>
          <w:rFonts w:ascii="Arial" w:cs="Arial" w:eastAsia="Arial" w:hAnsi="Arial"/>
          <w:sz w:val="19"/>
          <w:szCs w:val="19"/>
        </w:rPr>
        <w:t xml:space="preserve">quote the Operations figure (64.2%) as the headline. It covers elective theatres only and excludes overrun time, which is how the national GIRFT measure works, so it is the only figure comparable with the 85% benchmark. Show 71.6% alongside as an all-theatre, hours-based figure, clearly labelled.</w:t>
      </w:r>
    </w:p>
    <w:p>
      <w:pPr>
        <w:pStyle w:val="ListParagraph"/>
        <w:numPr>
          <w:ilvl w:val="0"/>
          <w:numId w:val="2"/>
        </w:numPr>
        <w:spacing w:after="70" w:before="0"/>
      </w:pPr>
      <w:r>
        <w:rPr>
          <w:rFonts w:ascii="Arial" w:cs="Arial" w:eastAsia="Arial" w:hAnsi="Arial"/>
          <w:b/>
          <w:bCs/>
          <w:sz w:val="19"/>
          <w:szCs w:val="19"/>
        </w:rPr>
        <w:t xml:space="preserve">Going forward: </w:t>
      </w:r>
      <w:r>
        <w:rPr>
          <w:rFonts w:ascii="Arial" w:cs="Arial" w:eastAsia="Arial" w:hAnsi="Arial"/>
          <w:sz w:val="19"/>
          <w:szCs w:val="19"/>
        </w:rPr>
        <w:t xml:space="preserve">adopt the GIRFT capped touch-time definition: operating time within planned elective sessions (T1–T3), capped at session end, divided by planned session time. This needs actual start and finish times from TMS, which the current export does not include.</w:t>
      </w:r>
    </w:p>
    <w:p>
      <w:pPr>
        <w:pStyle w:val="ListParagraph"/>
        <w:numPr>
          <w:ilvl w:val="0"/>
          <w:numId w:val="2"/>
        </w:numPr>
        <w:spacing w:after="70" w:before="0"/>
      </w:pPr>
      <w:r>
        <w:rPr>
          <w:rFonts w:ascii="Arial" w:cs="Arial" w:eastAsia="Arial" w:hAnsi="Arial"/>
          <w:b/>
          <w:bCs/>
          <w:sz w:val="19"/>
          <w:szCs w:val="19"/>
        </w:rPr>
        <w:t xml:space="preserve">Data fix: </w:t>
      </w:r>
      <w:r>
        <w:rPr>
          <w:rFonts w:ascii="Arial" w:cs="Arial" w:eastAsia="Arial" w:hAnsi="Arial"/>
          <w:sz w:val="19"/>
          <w:szCs w:val="19"/>
        </w:rPr>
        <w:t xml:space="preserve">retire the 'fudge' rule, stop using the Utilisation_Pct column, and have TMS update cancelled sessions at source (Daniel Walsh's pipeline queue).</w:t>
      </w:r>
    </w:p>
    <w:p>
      <w:pPr>
        <w:pStyle w:val="ListParagraph"/>
        <w:numPr>
          <w:ilvl w:val="0"/>
          <w:numId w:val="2"/>
        </w:numPr>
        <w:spacing w:after="70" w:before="0"/>
      </w:pPr>
      <w:r>
        <w:rPr>
          <w:rFonts w:ascii="Arial" w:cs="Arial" w:eastAsia="Arial" w:hAnsi="Arial"/>
          <w:b/>
          <w:bCs/>
          <w:sz w:val="19"/>
          <w:szCs w:val="19"/>
        </w:rPr>
        <w:t xml:space="preserve">Governance: </w:t>
      </w:r>
      <w:r>
        <w:rPr>
          <w:rFonts w:ascii="Arial" w:cs="Arial" w:eastAsia="Arial" w:hAnsi="Arial"/>
          <w:sz w:val="19"/>
          <w:szCs w:val="19"/>
        </w:rPr>
        <w:t xml:space="preserve">ratify the definition at the next governance meeting, with one owner (Theatres Manager) and one figure for both Finance and Operations.</w:t>
      </w:r>
    </w:p>
    <w:p>
      <w:pPr>
        <w:pBdr>
          <w:bottom w:val="single" w:color="005EB8" w:sz="6" w:space="1"/>
        </w:pBdr>
        <w:spacing w:after="50" w:before="120"/>
      </w:pPr>
      <w:r>
        <w:rPr>
          <w:rFonts w:ascii="Arial" w:cs="Arial" w:eastAsia="Arial" w:hAnsi="Arial"/>
          <w:b/>
          <w:bCs/>
          <w:color w:val="003087"/>
          <w:sz w:val="21"/>
          <w:szCs w:val="21"/>
        </w:rPr>
        <w:t xml:space="preserve">4. Financial impact</w:t>
      </w:r>
    </w:p>
    <w:p>
      <w:pPr>
        <w:spacing w:after="70" w:before="0"/>
      </w:pPr>
      <w:r>
        <w:rPr>
          <w:rFonts w:ascii="Arial" w:cs="Arial" w:eastAsia="Arial" w:hAnsi="Arial"/>
          <w:sz w:val="19"/>
          <w:szCs w:val="19"/>
        </w:rPr>
        <w:t xml:space="preserve">The estimated £180,000 a month of unused capacity is calculated against the 85% target. Using 71.6% would understate the gap by about a third and weaken the case for theatre productivity improvement in front of NHS England. Full workings are in the DQ Issue Log workbook (Task_Workings sheet).</w:t>
      </w:r>
    </w:p>
    <w:sectPr>
      <w:footerReference w:type="default" r:id="rId7"/>
      <w:pgSz w:w="11906" w:h="16838" w:orient="portrait"/>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70" w:before="0"/>
      <w:jc w:val="center"/>
    </w:pPr>
    <w:r>
      <w:rPr>
        <w:rFonts w:ascii="Arial" w:cs="Arial" w:eastAsia="Arial" w:hAnsi="Arial"/>
        <w:color w:val="425563"/>
        <w:sz w:val="14"/>
        <w:szCs w:val="14"/>
      </w:rPr>
      <w:t xml:space="preserve">INTERNAL USE ONLY · Theatre utilisation reconciliation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4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2026-10-05T19:15:57.304Z</dcterms:created>
  <dcterms:modified xsi:type="dcterms:W3CDTF">2026-10-05T19:15:57.305Z</dcterms:modified>
</cp:coreProperties>
</file>

<file path=docProps/custom.xml><?xml version="1.0" encoding="utf-8"?>
<Properties xmlns="http://schemas.openxmlformats.org/officeDocument/2006/custom-properties" xmlns:vt="http://schemas.openxmlformats.org/officeDocument/2006/docPropsVTypes"/>
</file>