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广东</w:t>
      </w:r>
      <w:r>
        <w:rPr>
          <w:rFonts w:hint="eastAsia" w:ascii="黑体" w:hAnsi="黑体" w:eastAsia="黑体" w:cs="黑体"/>
          <w:sz w:val="36"/>
          <w:szCs w:val="36"/>
          <w:lang w:eastAsia="zh-CN"/>
        </w:rPr>
        <w:t>茶叶产业分析报告</w:t>
      </w:r>
      <w:r>
        <w:rPr>
          <w:rFonts w:hint="eastAsia" w:ascii="黑体" w:hAnsi="黑体" w:eastAsia="黑体" w:cs="黑体"/>
          <w:sz w:val="36"/>
          <w:szCs w:val="36"/>
          <w:lang w:val="en-US" w:eastAsia="zh-CN"/>
        </w:rPr>
        <w:t>2018</w:t>
      </w:r>
    </w:p>
    <w:p>
      <w:pPr>
        <w:bidi w:val="0"/>
        <w:rPr>
          <w:rFonts w:hint="eastAsia"/>
          <w:lang w:val="en-US" w:eastAsia="zh-CN"/>
        </w:rPr>
      </w:pPr>
      <w:r>
        <w:rPr>
          <w:rFonts w:hint="eastAsia"/>
          <w:lang w:val="en-US" w:eastAsia="zh-CN"/>
        </w:rPr>
        <w:t>摘要：</w:t>
      </w:r>
    </w:p>
    <w:p>
      <w:pPr>
        <w:pStyle w:val="2"/>
        <w:numPr>
          <w:ilvl w:val="0"/>
          <w:numId w:val="1"/>
        </w:numPr>
      </w:pPr>
      <w:r>
        <w:rPr>
          <w:rFonts w:hint="eastAsia"/>
          <w:lang w:val="en-US" w:eastAsia="zh-CN"/>
        </w:rPr>
        <w:t>2018年</w:t>
      </w:r>
      <w:r>
        <w:rPr>
          <w:rFonts w:hint="eastAsia"/>
          <w:lang w:eastAsia="zh-CN"/>
        </w:rPr>
        <w:t>广东茶叶产业现状</w:t>
      </w:r>
    </w:p>
    <w:p>
      <w:pPr>
        <w:pStyle w:val="3"/>
        <w:rPr>
          <w:rFonts w:hint="eastAsia"/>
          <w:lang w:val="en-US" w:eastAsia="zh-CN"/>
        </w:rPr>
      </w:pPr>
      <w:r>
        <w:rPr>
          <w:rFonts w:hint="eastAsia"/>
          <w:lang w:val="en-US" w:eastAsia="zh-CN"/>
        </w:rPr>
        <w:t>（一）生产规模继续扩大</w:t>
      </w:r>
    </w:p>
    <w:p>
      <w:pPr>
        <w:bidi w:val="0"/>
        <w:ind w:firstLine="560"/>
        <w:rPr>
          <w:rFonts w:hint="default"/>
          <w:lang w:val="en-US" w:eastAsia="zh-CN"/>
        </w:rPr>
      </w:pPr>
      <w:r>
        <w:rPr>
          <w:rFonts w:hint="eastAsia"/>
          <w:lang w:val="en-US" w:eastAsia="zh-CN"/>
        </w:rPr>
        <w:t>2018年广东省茶园面积为93万亩，同比增长6.16%，占全国茶园总面积的2.12%；干毛茶产量为9.65万吨，同比增长3.88%，占全国茶叶总产量的3.69%；单产为103.72公斤/亩。2018年广东省茶园面积、茶叶产量和单产分别排在全国第13位、第9位和第2位，位次均保持不变。从2000年至2018年，广东省茶园种植面积经历了先减少后增加的过程，2000—2008年之间茶园面积波动下降，2009年开始逐步上升，年均增长率为2.03%；茶叶产量在2004年之前较为稳定，2005年开始逐渐增加，2009年之后产量增长速度较快，年均增长率为4.72%。</w:t>
      </w:r>
    </w:p>
    <w:p>
      <w:pPr>
        <w:keepNext w:val="0"/>
        <w:keepLines w:val="0"/>
        <w:pageBreakBefore w:val="0"/>
        <w:widowControl w:val="0"/>
        <w:kinsoku/>
        <w:wordWrap/>
        <w:overflowPunct/>
        <w:topLinePunct w:val="0"/>
        <w:autoSpaceDE/>
        <w:autoSpaceDN/>
        <w:bidi w:val="0"/>
        <w:adjustRightInd/>
        <w:snapToGrid/>
        <w:ind w:firstLine="0"/>
        <w:jc w:val="center"/>
        <w:textAlignment w:val="auto"/>
      </w:pPr>
      <w:r>
        <w:drawing>
          <wp:inline distT="0" distB="0" distL="114300" distR="114300">
            <wp:extent cx="4468495" cy="2516505"/>
            <wp:effectExtent l="4445" t="4445" r="22860" b="1270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sz w:val="21"/>
          <w:szCs w:val="21"/>
          <w:lang w:val="en-US" w:eastAsia="zh-CN"/>
        </w:rPr>
      </w:pPr>
      <w:r>
        <w:rPr>
          <w:rFonts w:hint="eastAsia"/>
          <w:sz w:val="21"/>
          <w:szCs w:val="21"/>
          <w:lang w:val="en-US" w:eastAsia="zh-CN"/>
        </w:rPr>
        <w:t>数据来源：国家统计局（2000-2017），中国茶叶流通协会（2018）</w:t>
      </w:r>
    </w:p>
    <w:p>
      <w:pPr>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b/>
          <w:bCs/>
          <w:sz w:val="24"/>
          <w:szCs w:val="24"/>
          <w:lang w:val="en-US" w:eastAsia="zh-CN"/>
        </w:rPr>
      </w:pPr>
      <w:r>
        <w:rPr>
          <w:rFonts w:hint="eastAsia"/>
          <w:b/>
          <w:bCs/>
          <w:sz w:val="24"/>
          <w:szCs w:val="24"/>
          <w:lang w:val="en-US" w:eastAsia="zh-CN"/>
        </w:rPr>
        <w:t>图1 广东省历年茶园面积与茶叶产量</w:t>
      </w:r>
    </w:p>
    <w:p>
      <w:pPr>
        <w:pStyle w:val="3"/>
        <w:rPr>
          <w:rFonts w:hint="default"/>
          <w:lang w:val="en-US" w:eastAsia="zh-CN"/>
        </w:rPr>
      </w:pPr>
      <w:r>
        <w:rPr>
          <w:rFonts w:hint="eastAsia"/>
          <w:lang w:val="en-US" w:eastAsia="zh-CN"/>
        </w:rPr>
        <w:t>（二）产品结构不断优化（更新到2018年）</w:t>
      </w:r>
    </w:p>
    <w:p>
      <w:pPr>
        <w:bidi w:val="0"/>
        <w:ind w:firstLine="560"/>
        <w:rPr>
          <w:rFonts w:hint="eastAsia"/>
          <w:color w:val="FF0000"/>
          <w:lang w:val="en-US" w:eastAsia="zh-CN"/>
        </w:rPr>
      </w:pPr>
      <w:r>
        <w:rPr>
          <w:rFonts w:hint="eastAsia"/>
          <w:color w:val="FF0000"/>
          <w:highlight w:val="none"/>
          <w:lang w:val="en-US" w:eastAsia="zh-CN"/>
        </w:rPr>
        <w:t>据中国农村统计年鉴数据显示，2017年</w:t>
      </w:r>
      <w:r>
        <w:rPr>
          <w:rFonts w:hint="default"/>
          <w:color w:val="FF0000"/>
          <w:highlight w:val="none"/>
          <w:lang w:val="en-US" w:eastAsia="zh-CN"/>
        </w:rPr>
        <w:t>全省绿茶</w:t>
      </w:r>
      <w:r>
        <w:rPr>
          <w:rFonts w:hint="eastAsia"/>
          <w:color w:val="FF0000"/>
          <w:highlight w:val="none"/>
          <w:lang w:val="en-US" w:eastAsia="zh-CN"/>
        </w:rPr>
        <w:t>产量37607吨，</w:t>
      </w:r>
      <w:r>
        <w:rPr>
          <w:rFonts w:hint="default"/>
          <w:color w:val="FF0000"/>
          <w:highlight w:val="none"/>
          <w:lang w:val="en-US" w:eastAsia="zh-CN"/>
        </w:rPr>
        <w:t>占</w:t>
      </w:r>
      <w:r>
        <w:rPr>
          <w:rFonts w:hint="eastAsia"/>
          <w:color w:val="FF0000"/>
          <w:highlight w:val="none"/>
          <w:lang w:val="en-US" w:eastAsia="zh-CN"/>
        </w:rPr>
        <w:t>40.49</w:t>
      </w:r>
      <w:r>
        <w:rPr>
          <w:rFonts w:hint="default"/>
          <w:color w:val="FF0000"/>
          <w:highlight w:val="none"/>
          <w:lang w:val="en-US" w:eastAsia="zh-CN"/>
        </w:rPr>
        <w:t>%</w:t>
      </w:r>
      <w:r>
        <w:rPr>
          <w:rFonts w:hint="eastAsia"/>
          <w:color w:val="FF0000"/>
          <w:highlight w:val="none"/>
          <w:lang w:val="en-US" w:eastAsia="zh-CN"/>
        </w:rPr>
        <w:t>；</w:t>
      </w:r>
      <w:r>
        <w:rPr>
          <w:rFonts w:hint="default"/>
          <w:color w:val="FF0000"/>
          <w:highlight w:val="none"/>
          <w:lang w:val="en-US" w:eastAsia="zh-CN"/>
        </w:rPr>
        <w:t>乌龙茶</w:t>
      </w:r>
      <w:r>
        <w:rPr>
          <w:rFonts w:hint="eastAsia"/>
          <w:color w:val="FF0000"/>
          <w:highlight w:val="none"/>
          <w:lang w:val="en-US" w:eastAsia="zh-CN"/>
        </w:rPr>
        <w:t>产量41050吨，</w:t>
      </w:r>
      <w:r>
        <w:rPr>
          <w:rFonts w:hint="default"/>
          <w:color w:val="FF0000"/>
          <w:highlight w:val="none"/>
          <w:lang w:val="en-US" w:eastAsia="zh-CN"/>
        </w:rPr>
        <w:t>占</w:t>
      </w:r>
      <w:r>
        <w:rPr>
          <w:rFonts w:hint="eastAsia"/>
          <w:color w:val="FF0000"/>
          <w:highlight w:val="none"/>
          <w:lang w:val="en-US" w:eastAsia="zh-CN"/>
        </w:rPr>
        <w:t>44.19</w:t>
      </w:r>
      <w:r>
        <w:rPr>
          <w:rFonts w:hint="default"/>
          <w:color w:val="FF0000"/>
          <w:highlight w:val="none"/>
          <w:lang w:val="en-US" w:eastAsia="zh-CN"/>
        </w:rPr>
        <w:t>%</w:t>
      </w:r>
      <w:r>
        <w:rPr>
          <w:rFonts w:hint="eastAsia"/>
          <w:color w:val="FF0000"/>
          <w:highlight w:val="none"/>
          <w:lang w:val="en-US" w:eastAsia="zh-CN"/>
        </w:rPr>
        <w:t>；</w:t>
      </w:r>
      <w:r>
        <w:rPr>
          <w:rFonts w:hint="default"/>
          <w:color w:val="FF0000"/>
          <w:highlight w:val="none"/>
          <w:lang w:val="en-US" w:eastAsia="zh-CN"/>
        </w:rPr>
        <w:t>红茶</w:t>
      </w:r>
      <w:r>
        <w:rPr>
          <w:rFonts w:hint="eastAsia"/>
          <w:color w:val="FF0000"/>
          <w:highlight w:val="none"/>
          <w:lang w:val="en-US" w:eastAsia="zh-CN"/>
        </w:rPr>
        <w:t>产量6396吨，</w:t>
      </w:r>
      <w:r>
        <w:rPr>
          <w:rFonts w:hint="default"/>
          <w:color w:val="FF0000"/>
          <w:highlight w:val="none"/>
          <w:lang w:val="en-US" w:eastAsia="zh-CN"/>
        </w:rPr>
        <w:t>占6</w:t>
      </w:r>
      <w:r>
        <w:rPr>
          <w:rFonts w:hint="eastAsia"/>
          <w:color w:val="FF0000"/>
          <w:highlight w:val="none"/>
          <w:lang w:val="en-US" w:eastAsia="zh-CN"/>
        </w:rPr>
        <w:t>.89</w:t>
      </w:r>
      <w:r>
        <w:rPr>
          <w:rFonts w:hint="default"/>
          <w:color w:val="FF0000"/>
          <w:highlight w:val="none"/>
          <w:lang w:val="en-US" w:eastAsia="zh-CN"/>
        </w:rPr>
        <w:t>%</w:t>
      </w:r>
      <w:r>
        <w:rPr>
          <w:rFonts w:hint="eastAsia"/>
          <w:color w:val="FF0000"/>
          <w:highlight w:val="none"/>
          <w:lang w:val="en-US" w:eastAsia="zh-CN"/>
        </w:rPr>
        <w:t>；</w:t>
      </w:r>
      <w:r>
        <w:rPr>
          <w:rFonts w:hint="default"/>
          <w:color w:val="FF0000"/>
          <w:highlight w:val="none"/>
          <w:lang w:val="en-US" w:eastAsia="zh-CN"/>
        </w:rPr>
        <w:t>其他茶占8.</w:t>
      </w:r>
      <w:r>
        <w:rPr>
          <w:rFonts w:hint="eastAsia"/>
          <w:color w:val="FF0000"/>
          <w:highlight w:val="none"/>
          <w:lang w:val="en-US" w:eastAsia="zh-CN"/>
        </w:rPr>
        <w:t>43</w:t>
      </w:r>
      <w:r>
        <w:rPr>
          <w:rFonts w:hint="default"/>
          <w:color w:val="FF0000"/>
          <w:highlight w:val="none"/>
          <w:lang w:val="en-US" w:eastAsia="zh-CN"/>
        </w:rPr>
        <w:t>%。近年来，绿茶占</w:t>
      </w:r>
      <w:r>
        <w:rPr>
          <w:rFonts w:hint="eastAsia"/>
          <w:color w:val="FF0000"/>
          <w:highlight w:val="none"/>
          <w:lang w:val="en-US" w:eastAsia="zh-CN"/>
        </w:rPr>
        <w:t>全省茶叶</w:t>
      </w:r>
      <w:r>
        <w:rPr>
          <w:rFonts w:hint="default"/>
          <w:color w:val="FF0000"/>
          <w:highlight w:val="none"/>
          <w:lang w:val="en-US" w:eastAsia="zh-CN"/>
        </w:rPr>
        <w:t>总产量</w:t>
      </w:r>
      <w:r>
        <w:rPr>
          <w:rFonts w:hint="eastAsia"/>
          <w:color w:val="FF0000"/>
          <w:highlight w:val="none"/>
          <w:lang w:val="en-US" w:eastAsia="zh-CN"/>
        </w:rPr>
        <w:t>的</w:t>
      </w:r>
      <w:r>
        <w:rPr>
          <w:rFonts w:hint="default"/>
          <w:color w:val="FF0000"/>
          <w:highlight w:val="none"/>
          <w:lang w:val="en-US" w:eastAsia="zh-CN"/>
        </w:rPr>
        <w:t>比重不断下降，而乌龙茶占比大幅上升，红茶占比也有上升趋势。</w:t>
      </w:r>
      <w:r>
        <w:rPr>
          <w:rFonts w:hint="eastAsia"/>
          <w:color w:val="FF0000"/>
          <w:lang w:val="en-US" w:eastAsia="zh-CN"/>
        </w:rPr>
        <w:t>广东省绿茶产量占全国绿茶产量的2.3%，排在第十三位；红茶占全国的2.84%，排在第八位；乌龙茶占全国的15.39%，排在第二位。全省茶类结构不断优化，乌龙茶和红茶的优势地位逐渐凸显。</w:t>
      </w:r>
    </w:p>
    <w:p>
      <w:pPr>
        <w:pStyle w:val="3"/>
        <w:rPr>
          <w:rFonts w:hint="eastAsia"/>
          <w:lang w:val="en-US" w:eastAsia="zh-CN"/>
        </w:rPr>
      </w:pPr>
      <w:r>
        <w:rPr>
          <w:rFonts w:hint="eastAsia"/>
          <w:lang w:val="en-US" w:eastAsia="zh-CN"/>
        </w:rPr>
        <w:t>（三）产区分布特色鲜明</w:t>
      </w:r>
    </w:p>
    <w:p>
      <w:pPr>
        <w:bidi w:val="0"/>
        <w:ind w:firstLine="560"/>
        <w:rPr>
          <w:rFonts w:hint="default"/>
          <w:lang w:val="en-US" w:eastAsia="zh-CN"/>
        </w:rPr>
      </w:pPr>
      <w:r>
        <w:rPr>
          <w:rFonts w:hint="eastAsia"/>
          <w:lang w:val="en-US" w:eastAsia="zh-CN"/>
        </w:rPr>
        <w:t>从种植面积来看，广东茶叶生产主要集中在粤东、粤北地区，分别占全省茶园面积的65.29%、18.68%。从产量来看，广东茶叶生产主要集中在粤北、粤西和粤东，分别占全省茶叶产量的47.31%、28.73%和16.65%。从优势区域来看，</w:t>
      </w:r>
      <w:r>
        <w:rPr>
          <w:rFonts w:hint="default"/>
          <w:lang w:val="en-US" w:eastAsia="zh-CN"/>
        </w:rPr>
        <w:t>广东</w:t>
      </w:r>
      <w:r>
        <w:rPr>
          <w:rFonts w:hint="eastAsia"/>
          <w:lang w:val="en-US" w:eastAsia="zh-CN"/>
        </w:rPr>
        <w:t>省</w:t>
      </w:r>
      <w:r>
        <w:rPr>
          <w:rFonts w:hint="default"/>
          <w:lang w:val="en-US" w:eastAsia="zh-CN"/>
        </w:rPr>
        <w:t>已形成了</w:t>
      </w:r>
      <w:r>
        <w:rPr>
          <w:rFonts w:hint="eastAsia"/>
          <w:lang w:val="en-US" w:eastAsia="zh-CN"/>
        </w:rPr>
        <w:t>潮汕单从茶、</w:t>
      </w:r>
      <w:r>
        <w:rPr>
          <w:rFonts w:hint="default"/>
          <w:lang w:val="en-US" w:eastAsia="zh-CN"/>
        </w:rPr>
        <w:t>粤北“英红九号”红茶</w:t>
      </w:r>
      <w:r>
        <w:rPr>
          <w:rFonts w:hint="eastAsia"/>
          <w:lang w:val="en-US" w:eastAsia="zh-CN"/>
        </w:rPr>
        <w:t>、</w:t>
      </w:r>
      <w:r>
        <w:rPr>
          <w:rFonts w:hint="default"/>
          <w:lang w:val="en-US" w:eastAsia="zh-CN"/>
        </w:rPr>
        <w:t>客家</w:t>
      </w:r>
      <w:r>
        <w:rPr>
          <w:rFonts w:hint="eastAsia"/>
          <w:lang w:val="en-US" w:eastAsia="zh-CN"/>
        </w:rPr>
        <w:t>绿</w:t>
      </w:r>
      <w:r>
        <w:rPr>
          <w:rFonts w:hint="default"/>
          <w:lang w:val="en-US" w:eastAsia="zh-CN"/>
        </w:rPr>
        <w:t>茶等三大优势区域</w:t>
      </w:r>
      <w:r>
        <w:rPr>
          <w:rFonts w:hint="eastAsia"/>
          <w:lang w:val="en-US" w:eastAsia="zh-CN"/>
        </w:rPr>
        <w:t>；此外，江门</w:t>
      </w:r>
      <w:r>
        <w:rPr>
          <w:rFonts w:hint="default"/>
          <w:lang w:val="en-US" w:eastAsia="zh-CN"/>
        </w:rPr>
        <w:t>新会</w:t>
      </w:r>
      <w:r>
        <w:rPr>
          <w:rFonts w:hint="eastAsia"/>
          <w:lang w:val="en-US" w:eastAsia="zh-CN"/>
        </w:rPr>
        <w:t>的柑普</w:t>
      </w:r>
      <w:r>
        <w:rPr>
          <w:rFonts w:hint="default"/>
          <w:lang w:val="en-US" w:eastAsia="zh-CN"/>
        </w:rPr>
        <w:t>茶发展势头迅猛，成为</w:t>
      </w:r>
      <w:r>
        <w:rPr>
          <w:rFonts w:hint="eastAsia"/>
          <w:lang w:val="en-US" w:eastAsia="zh-CN"/>
        </w:rPr>
        <w:t>中国再加工茶类的重要产品之一</w:t>
      </w:r>
      <w:r>
        <w:rPr>
          <w:rFonts w:hint="default"/>
          <w:lang w:val="en-US" w:eastAsia="zh-CN"/>
        </w:rPr>
        <w:t>。</w:t>
      </w:r>
    </w:p>
    <w:p>
      <w:pPr>
        <w:pStyle w:val="3"/>
        <w:numPr>
          <w:ilvl w:val="0"/>
          <w:numId w:val="2"/>
        </w:numPr>
        <w:rPr>
          <w:rFonts w:hint="eastAsia"/>
          <w:lang w:val="en-US" w:eastAsia="zh-CN"/>
        </w:rPr>
      </w:pPr>
      <w:r>
        <w:rPr>
          <w:rFonts w:hint="eastAsia"/>
          <w:lang w:val="en-US" w:eastAsia="zh-CN"/>
        </w:rPr>
        <w:t>消费流通优势明显</w:t>
      </w:r>
    </w:p>
    <w:p>
      <w:pPr>
        <w:numPr>
          <w:ilvl w:val="0"/>
          <w:numId w:val="0"/>
        </w:numPr>
        <w:bidi w:val="0"/>
        <w:ind w:firstLine="560" w:firstLineChars="200"/>
        <w:rPr>
          <w:rFonts w:hint="default"/>
          <w:lang w:val="en-US" w:eastAsia="zh-CN"/>
        </w:rPr>
      </w:pPr>
      <w:r>
        <w:rPr>
          <w:rFonts w:hint="default"/>
          <w:lang w:val="en-US" w:eastAsia="zh-CN"/>
        </w:rPr>
        <w:t>广东是全国茶叶消费第一大省，</w:t>
      </w:r>
      <w:r>
        <w:rPr>
          <w:rFonts w:hint="eastAsia"/>
          <w:lang w:val="en-US" w:eastAsia="zh-CN"/>
        </w:rPr>
        <w:t>2018年</w:t>
      </w:r>
      <w:r>
        <w:rPr>
          <w:rFonts w:hint="default"/>
          <w:lang w:val="en-US" w:eastAsia="zh-CN"/>
        </w:rPr>
        <w:t>广东</w:t>
      </w:r>
      <w:r>
        <w:rPr>
          <w:rFonts w:hint="eastAsia"/>
          <w:lang w:val="en-US" w:eastAsia="zh-CN"/>
        </w:rPr>
        <w:t>省</w:t>
      </w:r>
      <w:r>
        <w:rPr>
          <w:rFonts w:hint="default"/>
          <w:lang w:val="en-US" w:eastAsia="zh-CN"/>
        </w:rPr>
        <w:t>茶叶</w:t>
      </w:r>
      <w:r>
        <w:rPr>
          <w:rFonts w:hint="default"/>
          <w:highlight w:val="none"/>
          <w:lang w:val="en-US" w:eastAsia="zh-CN"/>
        </w:rPr>
        <w:t>年</w:t>
      </w:r>
      <w:r>
        <w:rPr>
          <w:rFonts w:hint="eastAsia"/>
          <w:highlight w:val="none"/>
          <w:lang w:val="en-US" w:eastAsia="zh-CN"/>
        </w:rPr>
        <w:t>销售量</w:t>
      </w:r>
      <w:r>
        <w:rPr>
          <w:rFonts w:hint="default"/>
          <w:highlight w:val="none"/>
          <w:lang w:val="en-US" w:eastAsia="zh-CN"/>
        </w:rPr>
        <w:t>约</w:t>
      </w:r>
      <w:r>
        <w:rPr>
          <w:rFonts w:hint="eastAsia"/>
          <w:highlight w:val="none"/>
          <w:lang w:val="en-US" w:eastAsia="zh-CN"/>
        </w:rPr>
        <w:t>为</w:t>
      </w:r>
      <w:r>
        <w:rPr>
          <w:rFonts w:hint="default"/>
          <w:highlight w:val="none"/>
          <w:lang w:val="en-US" w:eastAsia="zh-CN"/>
        </w:rPr>
        <w:t>25万吨</w:t>
      </w:r>
      <w:r>
        <w:rPr>
          <w:rFonts w:hint="default"/>
          <w:lang w:val="en-US" w:eastAsia="zh-CN"/>
        </w:rPr>
        <w:t>，占全国</w:t>
      </w:r>
      <w:r>
        <w:rPr>
          <w:rFonts w:hint="eastAsia"/>
          <w:lang w:val="en-US" w:eastAsia="zh-CN"/>
        </w:rPr>
        <w:t>总</w:t>
      </w:r>
      <w:r>
        <w:rPr>
          <w:rFonts w:hint="default"/>
          <w:lang w:val="en-US" w:eastAsia="zh-CN"/>
        </w:rPr>
        <w:t>销</w:t>
      </w:r>
      <w:r>
        <w:rPr>
          <w:rFonts w:hint="eastAsia"/>
          <w:lang w:val="en-US" w:eastAsia="zh-CN"/>
        </w:rPr>
        <w:t>量的十分之一</w:t>
      </w:r>
      <w:r>
        <w:rPr>
          <w:rFonts w:hint="default"/>
          <w:lang w:val="en-US" w:eastAsia="zh-CN"/>
        </w:rPr>
        <w:t>，</w:t>
      </w:r>
      <w:r>
        <w:rPr>
          <w:rFonts w:hint="eastAsia"/>
          <w:lang w:val="en-US" w:eastAsia="zh-CN"/>
        </w:rPr>
        <w:t>稳居</w:t>
      </w:r>
      <w:r>
        <w:rPr>
          <w:rFonts w:hint="default"/>
          <w:lang w:val="en-US" w:eastAsia="zh-CN"/>
        </w:rPr>
        <w:t>全国</w:t>
      </w:r>
      <w:r>
        <w:rPr>
          <w:rFonts w:hint="eastAsia"/>
          <w:lang w:val="en-US" w:eastAsia="zh-CN"/>
        </w:rPr>
        <w:t>首位</w:t>
      </w:r>
      <w:r>
        <w:rPr>
          <w:rFonts w:hint="default"/>
          <w:lang w:val="en-US" w:eastAsia="zh-CN"/>
        </w:rPr>
        <w:t>。广州芳村</w:t>
      </w:r>
      <w:r>
        <w:rPr>
          <w:rFonts w:hint="eastAsia"/>
          <w:lang w:val="en-US" w:eastAsia="zh-CN"/>
        </w:rPr>
        <w:t>茶叶批发市场</w:t>
      </w:r>
      <w:r>
        <w:rPr>
          <w:rFonts w:hint="default"/>
          <w:lang w:val="en-US" w:eastAsia="zh-CN"/>
        </w:rPr>
        <w:t>交易额约80多亿元/年，茶叶流通量全国第一。广东茶叶电商</w:t>
      </w:r>
      <w:r>
        <w:rPr>
          <w:rFonts w:hint="eastAsia"/>
          <w:lang w:val="en-US" w:eastAsia="zh-CN"/>
        </w:rPr>
        <w:t>交易活跃</w:t>
      </w:r>
      <w:r>
        <w:rPr>
          <w:rFonts w:hint="default"/>
          <w:lang w:val="en-US" w:eastAsia="zh-CN"/>
        </w:rPr>
        <w:t>，2018年天猫“双十一”广东</w:t>
      </w:r>
      <w:r>
        <w:rPr>
          <w:rFonts w:hint="eastAsia"/>
          <w:lang w:val="en-US" w:eastAsia="zh-CN"/>
        </w:rPr>
        <w:t>茶叶</w:t>
      </w:r>
      <w:r>
        <w:rPr>
          <w:rFonts w:hint="default"/>
          <w:lang w:val="en-US" w:eastAsia="zh-CN"/>
        </w:rPr>
        <w:t>卖家数量、支付买家数量均居全国第一，分别占总量的18%和13.2%</w:t>
      </w:r>
      <w:r>
        <w:rPr>
          <w:rFonts w:hint="eastAsia"/>
          <w:lang w:val="en-US" w:eastAsia="zh-CN"/>
        </w:rPr>
        <w:t>，</w:t>
      </w:r>
      <w:r>
        <w:rPr>
          <w:rFonts w:hint="default"/>
          <w:lang w:val="en-US" w:eastAsia="zh-CN"/>
        </w:rPr>
        <w:t>平均客单价</w:t>
      </w:r>
      <w:r>
        <w:rPr>
          <w:rFonts w:hint="eastAsia"/>
          <w:lang w:val="en-US" w:eastAsia="zh-CN"/>
        </w:rPr>
        <w:t>高达</w:t>
      </w:r>
      <w:r>
        <w:rPr>
          <w:rFonts w:hint="default"/>
          <w:lang w:val="en-US" w:eastAsia="zh-CN"/>
        </w:rPr>
        <w:t>290.75元，居全国首位。</w:t>
      </w:r>
    </w:p>
    <w:p>
      <w:pPr>
        <w:numPr>
          <w:ilvl w:val="0"/>
          <w:numId w:val="0"/>
        </w:numPr>
        <w:bidi w:val="0"/>
        <w:ind w:firstLine="560" w:firstLineChars="200"/>
        <w:rPr>
          <w:rFonts w:hint="eastAsia"/>
          <w:lang w:val="en-US" w:eastAsia="zh-CN"/>
        </w:rPr>
      </w:pPr>
      <w:r>
        <w:rPr>
          <w:rFonts w:hint="eastAsia"/>
          <w:lang w:val="en-US" w:eastAsia="zh-CN"/>
        </w:rPr>
        <w:t>2018年全省茶叶出口量为6664.51吨，同比增长4.9%；茶叶出口额为8095.87万美元，同比下降22.96%。广东省茶叶出口均价为12.15美元/千克，是全国茶叶出口均价4.87美元/千克的2.49倍，且高于全国各茶类的出口均价。</w:t>
      </w:r>
    </w:p>
    <w:p>
      <w:pPr>
        <w:numPr>
          <w:ilvl w:val="0"/>
          <w:numId w:val="0"/>
        </w:numPr>
        <w:bidi w:val="0"/>
        <w:jc w:val="center"/>
      </w:pPr>
      <w:r>
        <w:drawing>
          <wp:inline distT="0" distB="0" distL="114300" distR="114300">
            <wp:extent cx="4324350" cy="2391410"/>
            <wp:effectExtent l="4445" t="5080" r="14605" b="22860"/>
            <wp:docPr id="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firstLine="482" w:firstLineChars="200"/>
        <w:jc w:val="center"/>
        <w:rPr>
          <w:rFonts w:hint="default"/>
          <w:lang w:val="en-US" w:eastAsia="zh-CN"/>
        </w:rPr>
      </w:pPr>
      <w:r>
        <w:rPr>
          <w:rFonts w:hint="eastAsia"/>
          <w:b/>
          <w:bCs/>
          <w:sz w:val="24"/>
          <w:szCs w:val="24"/>
          <w:lang w:eastAsia="zh-CN"/>
        </w:rPr>
        <w:t>图</w:t>
      </w:r>
      <w:r>
        <w:rPr>
          <w:rFonts w:hint="eastAsia"/>
          <w:b/>
          <w:bCs/>
          <w:sz w:val="24"/>
          <w:szCs w:val="24"/>
          <w:lang w:val="en-US" w:eastAsia="zh-CN"/>
        </w:rPr>
        <w:t>2  2018年全国各茶类出口情况</w:t>
      </w:r>
    </w:p>
    <w:p>
      <w:pPr>
        <w:pStyle w:val="3"/>
        <w:numPr>
          <w:ilvl w:val="0"/>
          <w:numId w:val="2"/>
        </w:numPr>
        <w:rPr>
          <w:rFonts w:hint="eastAsia"/>
          <w:lang w:val="en-US" w:eastAsia="zh-CN"/>
        </w:rPr>
      </w:pPr>
      <w:r>
        <w:rPr>
          <w:rFonts w:hint="eastAsia"/>
          <w:lang w:val="en-US" w:eastAsia="zh-CN"/>
        </w:rPr>
        <w:t>品牌效应日益显现</w:t>
      </w:r>
    </w:p>
    <w:p>
      <w:pPr>
        <w:numPr>
          <w:ilvl w:val="0"/>
          <w:numId w:val="0"/>
        </w:numPr>
        <w:bidi w:val="0"/>
        <w:ind w:leftChars="0" w:firstLine="560"/>
        <w:rPr>
          <w:rFonts w:hint="eastAsia"/>
          <w:lang w:val="en-US" w:eastAsia="zh-CN"/>
        </w:rPr>
      </w:pPr>
      <w:r>
        <w:rPr>
          <w:rFonts w:hint="eastAsia"/>
          <w:lang w:val="en-US" w:eastAsia="zh-CN"/>
        </w:rPr>
        <w:t>2018年，广东省茶叶类区域公用品牌共有</w:t>
      </w:r>
      <w:r>
        <w:rPr>
          <w:rFonts w:hint="eastAsia"/>
          <w:color w:val="auto"/>
          <w:lang w:val="en-US" w:eastAsia="zh-CN"/>
        </w:rPr>
        <w:t>28</w:t>
      </w:r>
      <w:r>
        <w:rPr>
          <w:rFonts w:hint="eastAsia"/>
          <w:lang w:val="en-US" w:eastAsia="zh-CN"/>
        </w:rPr>
        <w:t>个。其中，凤凰单丛茶和英德红茶于2017年被评为“中国优秀茶叶区域公用品牌”。区域公用品牌除了覆盖到绿茶、红茶、乌龙茶、白茶等传统茶类，还有柑普茶和植物饮品茶。据统计，区域公用品牌产品占全省茶叶总产量的</w:t>
      </w:r>
      <w:r>
        <w:rPr>
          <w:rFonts w:hint="eastAsia"/>
          <w:color w:val="auto"/>
          <w:lang w:val="en-US" w:eastAsia="zh-CN"/>
        </w:rPr>
        <w:t>68%</w:t>
      </w:r>
      <w:r>
        <w:rPr>
          <w:rFonts w:hint="eastAsia"/>
          <w:lang w:val="en-US" w:eastAsia="zh-CN"/>
        </w:rPr>
        <w:t>。</w:t>
      </w:r>
    </w:p>
    <w:p>
      <w:pPr>
        <w:pStyle w:val="2"/>
      </w:pPr>
      <w:r>
        <w:rPr>
          <w:rFonts w:hint="eastAsia"/>
          <w:lang w:eastAsia="zh-CN"/>
        </w:rPr>
        <w:t>二、</w:t>
      </w:r>
      <w:r>
        <w:rPr>
          <w:rFonts w:hint="eastAsia"/>
        </w:rPr>
        <w:t>茶叶</w:t>
      </w:r>
      <w:r>
        <w:rPr>
          <w:rFonts w:hint="eastAsia"/>
          <w:lang w:eastAsia="zh-CN"/>
        </w:rPr>
        <w:t>区域公用品牌发展情况</w:t>
      </w:r>
    </w:p>
    <w:p>
      <w:pPr>
        <w:bidi w:val="0"/>
        <w:ind w:firstLine="560" w:firstLineChars="200"/>
        <w:rPr>
          <w:rFonts w:hint="eastAsia"/>
          <w:lang w:val="en-US" w:eastAsia="zh-CN"/>
        </w:rPr>
      </w:pPr>
      <w:r>
        <w:rPr>
          <w:rFonts w:hint="eastAsia"/>
          <w:lang w:val="en-US" w:eastAsia="zh-CN"/>
        </w:rPr>
        <w:t>样本监测了广东省十个区域公用品牌，其中</w:t>
      </w:r>
      <w:r>
        <w:rPr>
          <w:rFonts w:hint="eastAsia"/>
          <w:lang w:eastAsia="zh-CN"/>
        </w:rPr>
        <w:t>绿茶品牌</w:t>
      </w:r>
      <w:r>
        <w:rPr>
          <w:rFonts w:hint="eastAsia"/>
          <w:lang w:val="en-US" w:eastAsia="zh-CN"/>
        </w:rPr>
        <w:t>4个</w:t>
      </w:r>
      <w:r>
        <w:rPr>
          <w:rFonts w:hint="eastAsia"/>
          <w:lang w:eastAsia="zh-CN"/>
        </w:rPr>
        <w:t>，分别是马图绿茶、紫金绿茶、东源仙湖茶和沿溪山白毛尖；</w:t>
      </w:r>
      <w:r>
        <w:rPr>
          <w:rFonts w:hint="eastAsia"/>
          <w:lang w:val="en-US" w:eastAsia="zh-CN"/>
        </w:rPr>
        <w:t>红茶品牌3个，分别是</w:t>
      </w:r>
      <w:r>
        <w:rPr>
          <w:rFonts w:hint="eastAsia"/>
          <w:lang w:eastAsia="zh-CN"/>
        </w:rPr>
        <w:t>英德红茶、鹤山红茶；柑普茶品牌</w:t>
      </w:r>
      <w:r>
        <w:rPr>
          <w:rFonts w:hint="eastAsia"/>
          <w:lang w:val="en-US" w:eastAsia="zh-CN"/>
        </w:rPr>
        <w:t>1个，</w:t>
      </w:r>
      <w:r>
        <w:rPr>
          <w:rFonts w:hint="eastAsia"/>
          <w:lang w:eastAsia="zh-CN"/>
        </w:rPr>
        <w:t>新会柑茶；综合茶类品牌</w:t>
      </w:r>
      <w:r>
        <w:rPr>
          <w:rFonts w:hint="eastAsia"/>
          <w:lang w:val="en-US" w:eastAsia="zh-CN"/>
        </w:rPr>
        <w:t>3个</w:t>
      </w:r>
      <w:r>
        <w:rPr>
          <w:rFonts w:hint="eastAsia"/>
          <w:lang w:eastAsia="zh-CN"/>
        </w:rPr>
        <w:t>，分别是象窝茶、开平大沙茶和罗坑茶。其中有地理标志保护的品牌是</w:t>
      </w:r>
      <w:r>
        <w:rPr>
          <w:rFonts w:hint="eastAsia"/>
          <w:lang w:val="en-US" w:eastAsia="zh-CN"/>
        </w:rPr>
        <w:t>6个。</w:t>
      </w:r>
    </w:p>
    <w:p>
      <w:pPr>
        <w:pStyle w:val="3"/>
        <w:rPr>
          <w:rFonts w:hint="eastAsia"/>
          <w:lang w:val="en-US" w:eastAsia="zh-CN"/>
        </w:rPr>
      </w:pPr>
      <w:r>
        <w:rPr>
          <w:rFonts w:hint="eastAsia"/>
          <w:lang w:eastAsia="zh-CN"/>
        </w:rPr>
        <w:t>（一）区域公用品牌生产规模</w:t>
      </w:r>
    </w:p>
    <w:p>
      <w:pPr>
        <w:bidi w:val="0"/>
        <w:ind w:firstLine="560" w:firstLineChars="200"/>
        <w:rPr>
          <w:rFonts w:hint="default"/>
          <w:lang w:val="en-US" w:eastAsia="zh-CN"/>
        </w:rPr>
      </w:pPr>
      <w:r>
        <w:rPr>
          <w:rFonts w:hint="eastAsia"/>
          <w:lang w:val="en-US" w:eastAsia="zh-CN"/>
        </w:rPr>
        <w:t>样本区域公用品牌2018年总种植面积为33.06万亩，产量2.24万吨，产值82.208亿元，面积和产量分别占广东省的35.55%和23.21%。其中，英德红茶的面积和产量均排在区域品牌的首位，达到了12.3万亩和</w:t>
      </w:r>
      <w:r>
        <w:rPr>
          <w:rFonts w:hint="eastAsia"/>
          <w:highlight w:val="none"/>
          <w:lang w:val="en-US" w:eastAsia="zh-CN"/>
        </w:rPr>
        <w:t>0.83</w:t>
      </w:r>
      <w:r>
        <w:rPr>
          <w:rFonts w:hint="eastAsia"/>
          <w:lang w:val="en-US" w:eastAsia="zh-CN"/>
        </w:rPr>
        <w:t>万吨。预计2019年各区域品牌产量稳中有增，英德红茶在面积持续增加的情况下，产量也将有较大的增长比例。</w:t>
      </w:r>
    </w:p>
    <w:p>
      <w:pPr>
        <w:bidi w:val="0"/>
        <w:ind w:firstLine="560" w:firstLineChars="200"/>
      </w:pPr>
      <w:r>
        <w:drawing>
          <wp:inline distT="0" distB="0" distL="114300" distR="114300">
            <wp:extent cx="4610100" cy="2372360"/>
            <wp:effectExtent l="4445" t="4445" r="14605" b="23495"/>
            <wp:docPr id="4"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jc w:val="center"/>
        <w:rPr>
          <w:rFonts w:hint="eastAsia"/>
          <w:b/>
          <w:bCs/>
          <w:sz w:val="24"/>
          <w:szCs w:val="24"/>
          <w:lang w:eastAsia="zh-CN"/>
        </w:rPr>
      </w:pPr>
      <w:r>
        <w:rPr>
          <w:rFonts w:hint="eastAsia"/>
          <w:b/>
          <w:bCs/>
          <w:sz w:val="24"/>
          <w:szCs w:val="24"/>
          <w:lang w:eastAsia="zh-CN"/>
        </w:rPr>
        <w:t>图</w:t>
      </w:r>
      <w:r>
        <w:rPr>
          <w:rFonts w:hint="eastAsia"/>
          <w:b/>
          <w:bCs/>
          <w:sz w:val="24"/>
          <w:szCs w:val="24"/>
          <w:lang w:val="en-US" w:eastAsia="zh-CN"/>
        </w:rPr>
        <w:t>3  2018年区域品牌生产规模</w:t>
      </w:r>
    </w:p>
    <w:p>
      <w:pPr>
        <w:pStyle w:val="3"/>
        <w:rPr>
          <w:rFonts w:hint="eastAsia"/>
          <w:lang w:eastAsia="zh-CN"/>
        </w:rPr>
      </w:pPr>
      <w:r>
        <w:rPr>
          <w:rFonts w:hint="eastAsia"/>
          <w:lang w:eastAsia="zh-CN"/>
        </w:rPr>
        <w:t>（二）区域公用品牌的经济效益</w:t>
      </w:r>
    </w:p>
    <w:p>
      <w:pPr>
        <w:numPr>
          <w:ilvl w:val="0"/>
          <w:numId w:val="0"/>
        </w:numPr>
        <w:ind w:firstLine="560" w:firstLineChars="200"/>
        <w:rPr>
          <w:rFonts w:hint="eastAsia"/>
          <w:lang w:val="en-US" w:eastAsia="zh-CN"/>
        </w:rPr>
      </w:pPr>
      <w:r>
        <w:rPr>
          <w:rFonts w:hint="eastAsia"/>
          <w:szCs w:val="28"/>
          <w:lang w:val="en-US" w:eastAsia="zh-CN"/>
        </w:rPr>
        <w:t>2018年</w:t>
      </w:r>
      <w:r>
        <w:rPr>
          <w:rFonts w:hint="eastAsia"/>
          <w:szCs w:val="28"/>
          <w:lang w:eastAsia="zh-CN"/>
        </w:rPr>
        <w:t>区域品牌的平均亩产值为2.4866万元</w:t>
      </w:r>
      <w:r>
        <w:rPr>
          <w:rFonts w:hint="eastAsia"/>
          <w:szCs w:val="28"/>
          <w:lang w:val="en-US" w:eastAsia="zh-CN"/>
        </w:rPr>
        <w:t>/亩。其中，新会柑茶的亩均产值最高，达到了3.3882万元/亩；英德红茶、</w:t>
      </w:r>
      <w:r>
        <w:rPr>
          <w:rFonts w:hint="eastAsia"/>
          <w:lang w:eastAsia="zh-CN"/>
        </w:rPr>
        <w:t>沿溪山白毛尖、</w:t>
      </w:r>
      <w:r>
        <w:rPr>
          <w:rFonts w:hint="eastAsia"/>
          <w:szCs w:val="28"/>
          <w:lang w:val="en-US" w:eastAsia="zh-CN"/>
        </w:rPr>
        <w:t>罗坑茶、</w:t>
      </w:r>
      <w:r>
        <w:rPr>
          <w:rFonts w:hint="eastAsia"/>
          <w:lang w:eastAsia="zh-CN"/>
        </w:rPr>
        <w:t>鹤山红茶的亩均产值均超过了</w:t>
      </w:r>
      <w:r>
        <w:rPr>
          <w:rFonts w:hint="eastAsia"/>
          <w:lang w:val="en-US" w:eastAsia="zh-CN"/>
        </w:rPr>
        <w:t>2万元/亩；</w:t>
      </w:r>
      <w:r>
        <w:rPr>
          <w:rFonts w:hint="eastAsia"/>
          <w:szCs w:val="28"/>
          <w:lang w:val="en-US" w:eastAsia="zh-CN"/>
        </w:rPr>
        <w:t>马图绿茶、紫金绿茶、</w:t>
      </w:r>
      <w:r>
        <w:rPr>
          <w:rFonts w:hint="eastAsia"/>
          <w:lang w:eastAsia="zh-CN"/>
        </w:rPr>
        <w:t>东源仙湖茶、开平大沙茶和象窝茶的亩均产值在</w:t>
      </w:r>
      <w:r>
        <w:rPr>
          <w:rFonts w:hint="eastAsia"/>
          <w:lang w:val="en-US" w:eastAsia="zh-CN"/>
        </w:rPr>
        <w:t>1万元~1.4万元之间。</w:t>
      </w:r>
    </w:p>
    <w:p>
      <w:pPr>
        <w:numPr>
          <w:ilvl w:val="0"/>
          <w:numId w:val="0"/>
        </w:numPr>
        <w:ind w:firstLine="560" w:firstLineChars="200"/>
        <w:rPr>
          <w:rFonts w:hint="default"/>
          <w:lang w:val="en-US" w:eastAsia="zh-CN"/>
        </w:rPr>
      </w:pPr>
      <w:r>
        <w:rPr>
          <w:rFonts w:hint="eastAsia"/>
          <w:szCs w:val="28"/>
          <w:lang w:eastAsia="zh-CN"/>
        </w:rPr>
        <w:t>从亩均效益来看，区域品牌的亩均效益为</w:t>
      </w:r>
      <w:r>
        <w:rPr>
          <w:rFonts w:hint="default"/>
          <w:lang w:val="en-US" w:eastAsia="zh-CN"/>
        </w:rPr>
        <w:t>1.166</w:t>
      </w:r>
      <w:r>
        <w:rPr>
          <w:rFonts w:hint="eastAsia"/>
          <w:lang w:val="en-US" w:eastAsia="zh-CN"/>
        </w:rPr>
        <w:t>1万元/亩，其中英德红茶的亩均效益最高，达到了1.4846 万元/亩；罗坑茶和新会柑茶的亩均效益也都超过1万元/亩；鹤山红茶、马图绿茶、紫金绿茶和</w:t>
      </w:r>
      <w:r>
        <w:rPr>
          <w:rFonts w:hint="eastAsia"/>
          <w:lang w:eastAsia="zh-CN"/>
        </w:rPr>
        <w:t>东源仙湖茶的亩均效益在</w:t>
      </w:r>
      <w:r>
        <w:rPr>
          <w:rFonts w:hint="eastAsia"/>
          <w:lang w:val="en-US" w:eastAsia="zh-CN"/>
        </w:rPr>
        <w:t>5千元~1万元之间；</w:t>
      </w:r>
      <w:r>
        <w:rPr>
          <w:rFonts w:hint="eastAsia"/>
          <w:lang w:eastAsia="zh-CN"/>
        </w:rPr>
        <w:t>沿溪山白毛尖、开平大沙茶和象窝茶的亩均效益较低，在</w:t>
      </w:r>
      <w:r>
        <w:rPr>
          <w:rFonts w:hint="eastAsia"/>
          <w:lang w:val="en-US" w:eastAsia="zh-CN"/>
        </w:rPr>
        <w:t>3千元~5千元之间。</w:t>
      </w:r>
    </w:p>
    <w:p>
      <w:pPr>
        <w:numPr>
          <w:ilvl w:val="0"/>
          <w:numId w:val="0"/>
        </w:numPr>
        <w:ind w:firstLine="560" w:firstLineChars="200"/>
        <w:rPr>
          <w:rFonts w:hint="eastAsia"/>
          <w:szCs w:val="28"/>
          <w:lang w:val="en-US" w:eastAsia="zh-CN"/>
        </w:rPr>
      </w:pPr>
      <w:r>
        <w:rPr>
          <w:rFonts w:hint="eastAsia"/>
          <w:szCs w:val="28"/>
          <w:lang w:eastAsia="zh-CN"/>
        </w:rPr>
        <w:t>从毛利率来看，</w:t>
      </w:r>
      <w:r>
        <w:rPr>
          <w:rFonts w:hint="eastAsia"/>
          <w:szCs w:val="28"/>
          <w:lang w:val="en-US" w:eastAsia="zh-CN"/>
        </w:rPr>
        <w:t>英德红茶、罗坑茶、马图绿茶和</w:t>
      </w:r>
      <w:r>
        <w:rPr>
          <w:rFonts w:hint="eastAsia"/>
          <w:lang w:eastAsia="zh-CN"/>
        </w:rPr>
        <w:t>东源仙湖茶的毛利率均在</w:t>
      </w:r>
      <w:r>
        <w:rPr>
          <w:rFonts w:hint="eastAsia"/>
          <w:lang w:val="en-US" w:eastAsia="zh-CN"/>
        </w:rPr>
        <w:t>50%及以上，其他品牌的毛利率在20%~50%之间。</w:t>
      </w:r>
      <w:r>
        <w:rPr>
          <w:rFonts w:hint="eastAsia"/>
          <w:szCs w:val="28"/>
          <w:lang w:val="en-US" w:eastAsia="zh-CN"/>
        </w:rPr>
        <w:t>沿溪山白毛尖虽然亩均产值较高，但生产成本也高，毛利率仅有20%。</w:t>
      </w:r>
    </w:p>
    <w:p>
      <w:pPr>
        <w:jc w:val="center"/>
        <w:rPr>
          <w:rFonts w:hint="eastAsia"/>
          <w:b/>
          <w:bCs/>
          <w:sz w:val="24"/>
          <w:szCs w:val="24"/>
          <w:lang w:val="en-US" w:eastAsia="zh-CN"/>
        </w:rPr>
      </w:pPr>
      <w:r>
        <w:rPr>
          <w:rFonts w:hint="eastAsia"/>
          <w:b/>
          <w:bCs/>
          <w:sz w:val="24"/>
          <w:szCs w:val="24"/>
          <w:lang w:val="en-US" w:eastAsia="zh-CN"/>
        </w:rPr>
        <w:t>表1 各区域品牌的生产效益</w:t>
      </w:r>
    </w:p>
    <w:tbl>
      <w:tblPr>
        <w:tblStyle w:val="5"/>
        <w:tblW w:w="7707" w:type="dxa"/>
        <w:jc w:val="center"/>
        <w:tblInd w:w="193" w:type="dxa"/>
        <w:tblBorders>
          <w:top w:val="single" w:color="auto" w:sz="12" w:space="0"/>
          <w:left w:val="none" w:color="auto" w:sz="4" w:space="0"/>
          <w:bottom w:val="single" w:color="auto" w:sz="12" w:space="0"/>
          <w:right w:val="none" w:color="auto" w:sz="4" w:space="0"/>
          <w:insideH w:val="none" w:color="auto" w:sz="4" w:space="0"/>
          <w:insideV w:val="none" w:color="auto" w:sz="4" w:space="0"/>
        </w:tblBorders>
        <w:shd w:val="clear" w:color="auto" w:fill="auto"/>
        <w:tblLayout w:type="fixed"/>
        <w:tblCellMar>
          <w:top w:w="0" w:type="dxa"/>
          <w:left w:w="0" w:type="dxa"/>
          <w:bottom w:w="0" w:type="dxa"/>
          <w:right w:w="0" w:type="dxa"/>
        </w:tblCellMar>
      </w:tblPr>
      <w:tblGrid>
        <w:gridCol w:w="1849"/>
        <w:gridCol w:w="2316"/>
        <w:gridCol w:w="2123"/>
        <w:gridCol w:w="1419"/>
      </w:tblGrid>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shd w:val="clear" w:color="auto" w:fill="auto"/>
          <w:tblLayout w:type="fixed"/>
          <w:tblCellMar>
            <w:top w:w="0" w:type="dxa"/>
            <w:left w:w="0" w:type="dxa"/>
            <w:bottom w:w="0" w:type="dxa"/>
            <w:right w:w="0" w:type="dxa"/>
          </w:tblCellMar>
        </w:tblPrEx>
        <w:trPr>
          <w:trHeight w:val="381" w:hRule="atLeast"/>
          <w:jc w:val="center"/>
        </w:trPr>
        <w:tc>
          <w:tcPr>
            <w:tcW w:w="1849" w:type="dxa"/>
            <w:tcBorders>
              <w:left w:val="nil"/>
              <w:bottom w:val="single" w:color="auto" w:sz="8" w:space="0"/>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t>区域品牌</w:t>
            </w:r>
          </w:p>
        </w:tc>
        <w:tc>
          <w:tcPr>
            <w:tcW w:w="2316"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亩均产值（万元/亩）</w:t>
            </w:r>
          </w:p>
        </w:tc>
        <w:tc>
          <w:tcPr>
            <w:tcW w:w="2123"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亩均效益（万元/亩）</w:t>
            </w:r>
          </w:p>
        </w:tc>
        <w:tc>
          <w:tcPr>
            <w:tcW w:w="1419"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毛利率</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37" w:hRule="atLeast"/>
          <w:jc w:val="center"/>
        </w:trPr>
        <w:tc>
          <w:tcPr>
            <w:tcW w:w="1849"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新会柑茶</w:t>
            </w:r>
          </w:p>
        </w:tc>
        <w:tc>
          <w:tcPr>
            <w:tcW w:w="2316"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3.3882</w:t>
            </w:r>
          </w:p>
        </w:tc>
        <w:tc>
          <w:tcPr>
            <w:tcW w:w="2123" w:type="dxa"/>
            <w:tcBorders>
              <w:top w:val="single" w:color="auto" w:sz="8" w:space="0"/>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1.3176</w:t>
            </w:r>
          </w:p>
        </w:tc>
        <w:tc>
          <w:tcPr>
            <w:tcW w:w="1419"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38.89%</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英德红茶</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2.6317</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1.4846</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56.41%</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沿溪山白毛尖</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2.4462</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0.4892</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罗坑茶</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2.4000</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1.4000</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58.33%</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鹤山红茶</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2.2000</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0.8800</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40.00%</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马图绿茶</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1.4000</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0.7700</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55.00%</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紫金绿茶</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1.3846</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0.6231</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45.00%</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东源仙湖茶</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1.0909</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0.5455</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50.00%</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8" w:hRule="atLeast"/>
          <w:jc w:val="center"/>
        </w:trPr>
        <w:tc>
          <w:tcPr>
            <w:tcW w:w="184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开平大沙茶</w:t>
            </w:r>
          </w:p>
        </w:tc>
        <w:tc>
          <w:tcPr>
            <w:tcW w:w="2316"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1.0800</w:t>
            </w:r>
          </w:p>
        </w:tc>
        <w:tc>
          <w:tcPr>
            <w:tcW w:w="212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0.3600</w:t>
            </w:r>
          </w:p>
        </w:tc>
        <w:tc>
          <w:tcPr>
            <w:tcW w:w="1419"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33.33%</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27" w:hRule="atLeast"/>
          <w:jc w:val="center"/>
        </w:trPr>
        <w:tc>
          <w:tcPr>
            <w:tcW w:w="1849"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象窝茶</w:t>
            </w:r>
          </w:p>
        </w:tc>
        <w:tc>
          <w:tcPr>
            <w:tcW w:w="2316"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2123" w:type="dxa"/>
            <w:tcBorders>
              <w:top w:val="nil"/>
              <w:left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0.3000</w:t>
            </w:r>
          </w:p>
        </w:tc>
        <w:tc>
          <w:tcPr>
            <w:tcW w:w="1419"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30.00%</w:t>
            </w:r>
          </w:p>
        </w:tc>
      </w:tr>
    </w:tbl>
    <w:p>
      <w:pPr>
        <w:pStyle w:val="3"/>
        <w:rPr>
          <w:rFonts w:hint="eastAsia"/>
          <w:lang w:eastAsia="zh-CN"/>
        </w:rPr>
      </w:pPr>
      <w:r>
        <w:rPr>
          <w:rFonts w:hint="eastAsia"/>
          <w:lang w:eastAsia="zh-CN"/>
        </w:rPr>
        <w:t>（三）品牌建设投入与带动农户</w:t>
      </w:r>
    </w:p>
    <w:p>
      <w:pPr>
        <w:numPr>
          <w:ilvl w:val="0"/>
          <w:numId w:val="0"/>
        </w:numPr>
        <w:ind w:firstLine="560"/>
        <w:rPr>
          <w:rFonts w:hint="default"/>
          <w:szCs w:val="28"/>
          <w:lang w:val="en-US" w:eastAsia="zh-CN"/>
        </w:rPr>
      </w:pPr>
      <w:r>
        <w:rPr>
          <w:rFonts w:hint="eastAsia"/>
          <w:szCs w:val="28"/>
          <w:lang w:val="en-US" w:eastAsia="zh-CN"/>
        </w:rPr>
        <w:t>除马图绿茶外，各区域品牌建设均有当地政府的财政投入，2018年区域品牌建设财政投入总计为2755万元，其中英德红茶和新会柑茶的财政投入最高，达到了600万元。预计2019年区域品牌建设财政投入将增加到4500万元。</w:t>
      </w:r>
    </w:p>
    <w:p>
      <w:pPr>
        <w:numPr>
          <w:ilvl w:val="0"/>
          <w:numId w:val="0"/>
        </w:numPr>
        <w:ind w:firstLine="560"/>
        <w:rPr>
          <w:rFonts w:hint="eastAsia"/>
          <w:lang w:val="en-US" w:eastAsia="zh-CN"/>
        </w:rPr>
      </w:pPr>
      <w:r>
        <w:rPr>
          <w:rFonts w:hint="eastAsia"/>
          <w:szCs w:val="28"/>
          <w:lang w:val="en-US" w:eastAsia="zh-CN"/>
        </w:rPr>
        <w:t>在带动农户上，2018年十个区域公共品牌共带动农户19.8万人，预计2019年带动农户人数将达到21万人。其中，英德红茶由于规模最大，带动农户能力最强。区域公共品牌在产业带动农户脱贫致富上起着非常重要的作用。</w:t>
      </w:r>
    </w:p>
    <w:p>
      <w:pPr>
        <w:pStyle w:val="2"/>
      </w:pPr>
      <w:r>
        <w:rPr>
          <w:rFonts w:hint="eastAsia"/>
          <w:lang w:val="en-US" w:eastAsia="zh-CN"/>
        </w:rPr>
        <w:t>三、2018年</w:t>
      </w:r>
      <w:r>
        <w:rPr>
          <w:rFonts w:hint="eastAsia"/>
          <w:lang w:eastAsia="zh-CN"/>
        </w:rPr>
        <w:t>广东省名牌</w:t>
      </w:r>
      <w:r>
        <w:rPr>
          <w:rFonts w:hint="eastAsia"/>
        </w:rPr>
        <w:t>茶企</w:t>
      </w:r>
      <w:r>
        <w:rPr>
          <w:rFonts w:hint="eastAsia"/>
          <w:lang w:eastAsia="zh-CN"/>
        </w:rPr>
        <w:t>发展现状</w:t>
      </w:r>
    </w:p>
    <w:p>
      <w:pPr>
        <w:numPr>
          <w:ilvl w:val="0"/>
          <w:numId w:val="0"/>
        </w:numPr>
        <w:ind w:firstLine="560" w:firstLineChars="200"/>
        <w:rPr>
          <w:rFonts w:hint="eastAsia"/>
          <w:lang w:eastAsia="zh-CN"/>
        </w:rPr>
      </w:pPr>
      <w:r>
        <w:rPr>
          <w:rFonts w:hint="eastAsia"/>
          <w:szCs w:val="28"/>
          <w:lang w:val="en-US" w:eastAsia="zh-CN"/>
        </w:rPr>
        <w:t>本报告样本数据来源于104家</w:t>
      </w:r>
      <w:r>
        <w:rPr>
          <w:rFonts w:hint="eastAsia"/>
          <w:lang w:eastAsia="zh-CN"/>
        </w:rPr>
        <w:t>广东省名牌茶叶生产企业</w:t>
      </w:r>
      <w:r>
        <w:rPr>
          <w:rFonts w:hint="eastAsia"/>
          <w:szCs w:val="28"/>
          <w:lang w:val="en-US" w:eastAsia="zh-CN"/>
        </w:rPr>
        <w:t>，其中，</w:t>
      </w:r>
      <w:r>
        <w:rPr>
          <w:rFonts w:hint="eastAsia"/>
          <w:szCs w:val="28"/>
          <w:lang w:eastAsia="zh-CN"/>
        </w:rPr>
        <w:t>省级龙头企业</w:t>
      </w:r>
      <w:r>
        <w:rPr>
          <w:rFonts w:hint="eastAsia"/>
          <w:szCs w:val="28"/>
          <w:lang w:val="en-US" w:eastAsia="zh-CN"/>
        </w:rPr>
        <w:t>36家，市级龙头企业36家，县级龙头企业6家，非龙头企业26家；珠三角25家，粤东51家，粤西10家，粤北28家。</w:t>
      </w:r>
      <w:r>
        <w:rPr>
          <w:rFonts w:hint="eastAsia"/>
          <w:lang w:val="en-US" w:eastAsia="zh-CN"/>
        </w:rPr>
        <w:t>这104家</w:t>
      </w:r>
      <w:r>
        <w:rPr>
          <w:rFonts w:hint="eastAsia"/>
          <w:lang w:eastAsia="zh-CN"/>
        </w:rPr>
        <w:t>广东省名牌茶企，主要生产销售绿茶、红茶、乌龙茶、白茶</w:t>
      </w:r>
      <w:r>
        <w:rPr>
          <w:rFonts w:hint="eastAsia"/>
          <w:lang w:val="en-US" w:eastAsia="zh-CN"/>
        </w:rPr>
        <w:t>4类传统茶和再加工的柑普茶，以及包括桑叶茶、</w:t>
      </w:r>
      <w:r>
        <w:rPr>
          <w:rFonts w:hint="eastAsia"/>
          <w:szCs w:val="28"/>
        </w:rPr>
        <w:t>菊花、溪黄草茶、番石榴代用茶等</w:t>
      </w:r>
      <w:r>
        <w:rPr>
          <w:rFonts w:hint="eastAsia"/>
          <w:szCs w:val="28"/>
          <w:lang w:eastAsia="zh-CN"/>
        </w:rPr>
        <w:t>在内的</w:t>
      </w:r>
      <w:r>
        <w:rPr>
          <w:rFonts w:hint="eastAsia"/>
          <w:lang w:val="en-US" w:eastAsia="zh-CN"/>
        </w:rPr>
        <w:t>植物饮品茶，样本名牌茶产品共149个。</w:t>
      </w:r>
    </w:p>
    <w:p>
      <w:pPr>
        <w:pStyle w:val="3"/>
        <w:rPr>
          <w:rFonts w:hint="eastAsia"/>
        </w:rPr>
      </w:pPr>
      <w:r>
        <w:rPr>
          <w:rFonts w:hint="eastAsia"/>
          <w:lang w:eastAsia="zh-CN"/>
        </w:rPr>
        <w:t>（一）中型企业为主导，缺少大型茶叶企业</w:t>
      </w:r>
    </w:p>
    <w:p>
      <w:pPr>
        <w:ind w:firstLine="560" w:firstLineChars="200"/>
        <w:rPr>
          <w:rFonts w:hint="default" w:eastAsia="宋体"/>
          <w:szCs w:val="28"/>
          <w:lang w:val="en-US" w:eastAsia="zh-CN"/>
        </w:rPr>
      </w:pPr>
      <w:r>
        <w:rPr>
          <w:rFonts w:hint="eastAsia"/>
          <w:szCs w:val="28"/>
          <w:lang w:eastAsia="zh-CN"/>
        </w:rPr>
        <w:t>从</w:t>
      </w:r>
      <w:r>
        <w:rPr>
          <w:rFonts w:hint="eastAsia"/>
          <w:szCs w:val="28"/>
          <w:lang w:val="en-US" w:eastAsia="zh-CN"/>
        </w:rPr>
        <w:t>2018年的</w:t>
      </w:r>
      <w:r>
        <w:rPr>
          <w:rFonts w:hint="eastAsia"/>
          <w:szCs w:val="28"/>
          <w:lang w:eastAsia="zh-CN"/>
        </w:rPr>
        <w:t>销售规模来看，亿元以上销售规模的企业有</w:t>
      </w:r>
      <w:r>
        <w:rPr>
          <w:rFonts w:hint="eastAsia"/>
          <w:szCs w:val="28"/>
          <w:lang w:val="en-US" w:eastAsia="zh-CN"/>
        </w:rPr>
        <w:t>2家，占1.92%；销售规模在5千万元至1亿元之间的企业有28家，占26.92%；销售规模在2千万元至5千万元之间的企业有37家，占35.58%；销售规模在500万元至2千万元之间的企业有17家，占16.35%；销售规模小于500万元的企业有20家，占19.23%。广东省名牌茶企以中型企业为主，亿元以上的大规模企业较少，这也跟整个茶叶产业的企业规模相一致。</w:t>
      </w:r>
    </w:p>
    <w:p>
      <w:pPr>
        <w:jc w:val="center"/>
      </w:pPr>
      <w:r>
        <w:drawing>
          <wp:inline distT="0" distB="0" distL="114300" distR="114300">
            <wp:extent cx="3817620" cy="2283460"/>
            <wp:effectExtent l="4445" t="4445" r="6985" b="1714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ind w:firstLine="482" w:firstLineChars="200"/>
        <w:jc w:val="center"/>
        <w:rPr>
          <w:rFonts w:ascii="黑体" w:hAnsi="黑体" w:eastAsia="黑体" w:cs="黑体"/>
          <w:b/>
          <w:bCs/>
          <w:sz w:val="24"/>
          <w:szCs w:val="24"/>
        </w:rPr>
      </w:pPr>
      <w:r>
        <w:rPr>
          <w:rFonts w:hint="eastAsia"/>
          <w:b/>
          <w:bCs/>
          <w:sz w:val="24"/>
          <w:szCs w:val="24"/>
          <w:lang w:eastAsia="zh-CN"/>
        </w:rPr>
        <w:t>图</w:t>
      </w:r>
      <w:r>
        <w:rPr>
          <w:rFonts w:hint="eastAsia"/>
          <w:b/>
          <w:bCs/>
          <w:sz w:val="24"/>
          <w:szCs w:val="24"/>
          <w:lang w:val="en-US" w:eastAsia="zh-CN"/>
        </w:rPr>
        <w:t>4  2018年名牌茶企销售规模分布</w:t>
      </w:r>
    </w:p>
    <w:p>
      <w:pPr>
        <w:pStyle w:val="3"/>
        <w:rPr>
          <w:rFonts w:hint="default"/>
          <w:lang w:val="en-US" w:eastAsia="zh-CN"/>
        </w:rPr>
      </w:pPr>
      <w:r>
        <w:rPr>
          <w:rFonts w:hint="eastAsia"/>
          <w:lang w:eastAsia="zh-CN"/>
        </w:rPr>
        <w:t>（二）产量稳中有增，柑普茶快速增长</w:t>
      </w:r>
    </w:p>
    <w:p>
      <w:pPr>
        <w:numPr>
          <w:ilvl w:val="0"/>
          <w:numId w:val="0"/>
        </w:numPr>
        <w:ind w:firstLine="560" w:firstLineChars="200"/>
        <w:rPr>
          <w:rFonts w:hint="eastAsia"/>
          <w:lang w:val="en-US" w:eastAsia="zh-CN"/>
        </w:rPr>
      </w:pPr>
      <w:r>
        <w:rPr>
          <w:rFonts w:hint="eastAsia"/>
          <w:lang w:val="en-US" w:eastAsia="zh-CN"/>
        </w:rPr>
        <w:t>2018年，名牌茶企的茶叶总产量为7343.46吨，占广东省茶叶总产量的7.61%。其中，绿茶2234.17吨，占30.42%；红茶2060.50吨，占28.06%；乌龙茶1952.39吨，占26.59%；白茶205吨，占2.79%；柑普茶130.68吨，占1.78%；植物饮品茶760.72吨，占10.36%。与2017年相比，名牌茶企的茶叶总产量同比增长0.99%。红茶、乌龙茶产量微降；绿茶、白茶、柑普茶和植物饮品茶产量均增加，柑普茶增长幅度最大，增长了31.92%。</w:t>
      </w:r>
    </w:p>
    <w:p>
      <w:pPr>
        <w:numPr>
          <w:ilvl w:val="0"/>
          <w:numId w:val="0"/>
        </w:numPr>
        <w:jc w:val="center"/>
      </w:pPr>
      <w:r>
        <w:drawing>
          <wp:inline distT="0" distB="0" distL="114300" distR="114300">
            <wp:extent cx="3968750" cy="2316480"/>
            <wp:effectExtent l="4445" t="4445" r="8255" b="22225"/>
            <wp:docPr id="1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firstLine="482" w:firstLineChars="200"/>
        <w:jc w:val="center"/>
        <w:rPr>
          <w:rFonts w:hint="eastAsia"/>
          <w:b/>
          <w:bCs/>
          <w:sz w:val="24"/>
          <w:szCs w:val="24"/>
          <w:lang w:val="en-US" w:eastAsia="zh-CN"/>
        </w:rPr>
      </w:pPr>
      <w:r>
        <w:rPr>
          <w:rFonts w:hint="eastAsia"/>
          <w:b/>
          <w:bCs/>
          <w:sz w:val="24"/>
          <w:szCs w:val="24"/>
          <w:lang w:eastAsia="zh-CN"/>
        </w:rPr>
        <w:t>图</w:t>
      </w:r>
      <w:r>
        <w:rPr>
          <w:rFonts w:hint="eastAsia"/>
          <w:b/>
          <w:bCs/>
          <w:sz w:val="24"/>
          <w:szCs w:val="24"/>
          <w:lang w:val="en-US" w:eastAsia="zh-CN"/>
        </w:rPr>
        <w:t>5  2018年名牌茶企茶类生产分布</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pPr>
      <w:r>
        <w:drawing>
          <wp:inline distT="0" distB="0" distL="114300" distR="114300">
            <wp:extent cx="3996690" cy="2029460"/>
            <wp:effectExtent l="5080" t="5080" r="17780" b="2286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ind w:firstLine="482" w:firstLineChars="200"/>
        <w:jc w:val="center"/>
        <w:rPr>
          <w:rFonts w:hint="default"/>
          <w:b/>
          <w:bCs/>
          <w:sz w:val="24"/>
          <w:szCs w:val="24"/>
          <w:lang w:val="en-US" w:eastAsia="zh-CN"/>
        </w:rPr>
      </w:pPr>
      <w:r>
        <w:rPr>
          <w:rFonts w:hint="eastAsia"/>
          <w:b/>
          <w:bCs/>
          <w:sz w:val="24"/>
          <w:szCs w:val="24"/>
          <w:lang w:eastAsia="zh-CN"/>
        </w:rPr>
        <w:t>图</w:t>
      </w:r>
      <w:r>
        <w:rPr>
          <w:rFonts w:hint="eastAsia"/>
          <w:b/>
          <w:bCs/>
          <w:sz w:val="24"/>
          <w:szCs w:val="24"/>
          <w:lang w:val="en-US" w:eastAsia="zh-CN"/>
        </w:rPr>
        <w:t>6  2018年名牌茶企各茶类产量同比增长率</w:t>
      </w:r>
    </w:p>
    <w:p>
      <w:pPr>
        <w:pStyle w:val="3"/>
        <w:rPr>
          <w:rFonts w:hint="eastAsia"/>
          <w:lang w:val="en-US" w:eastAsia="zh-CN"/>
        </w:rPr>
      </w:pPr>
      <w:r>
        <w:rPr>
          <w:rFonts w:hint="eastAsia"/>
          <w:lang w:eastAsia="zh-CN"/>
        </w:rPr>
        <w:t>（三）以</w:t>
      </w:r>
      <w:r>
        <w:rPr>
          <w:rFonts w:hint="eastAsia"/>
        </w:rPr>
        <w:t>传统</w:t>
      </w:r>
      <w:r>
        <w:rPr>
          <w:rFonts w:hint="eastAsia"/>
          <w:lang w:eastAsia="zh-CN"/>
        </w:rPr>
        <w:t>线下</w:t>
      </w:r>
      <w:r>
        <w:rPr>
          <w:rFonts w:hint="eastAsia"/>
        </w:rPr>
        <w:t>渠道为主，省外和出口面临</w:t>
      </w:r>
      <w:r>
        <w:rPr>
          <w:rFonts w:hint="eastAsia"/>
          <w:lang w:eastAsia="zh-CN"/>
        </w:rPr>
        <w:t>较大</w:t>
      </w:r>
      <w:r>
        <w:rPr>
          <w:rFonts w:hint="eastAsia"/>
        </w:rPr>
        <w:t>压力</w:t>
      </w:r>
    </w:p>
    <w:p>
      <w:pPr>
        <w:bidi w:val="0"/>
        <w:ind w:firstLine="560" w:firstLineChars="200"/>
      </w:pPr>
      <w:r>
        <w:rPr>
          <w:rFonts w:hint="eastAsia"/>
          <w:lang w:val="en-US" w:eastAsia="zh-CN"/>
        </w:rPr>
        <w:t>名牌茶企的茶叶主要销往</w:t>
      </w:r>
      <w:r>
        <w:rPr>
          <w:rFonts w:hint="eastAsia"/>
        </w:rPr>
        <w:t>省内</w:t>
      </w:r>
      <w:r>
        <w:rPr>
          <w:rFonts w:hint="eastAsia"/>
          <w:lang w:eastAsia="zh-CN"/>
        </w:rPr>
        <w:t>，</w:t>
      </w:r>
      <w:r>
        <w:rPr>
          <w:rFonts w:hint="eastAsia"/>
          <w:lang w:val="en-US" w:eastAsia="zh-CN"/>
        </w:rPr>
        <w:t>2018年省内销售量占78.3%，省外销售量占20.91%，出口量仅占0.79%。不论从销售量和销售额来看，与2017年相比，省内销售占比上升，省外销售和出口的占比都有小幅下降。2018年，名牌茶叶电商销售量为811.65吨，占总销售量的11.14%；电商销售额为2.78亿元，占总销售额的9.84%。与2017年相比，电商销售量同比上涨13.92%，电商销售额同比上涨1.82%。</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24"/>
          <w:szCs w:val="24"/>
          <w:lang w:eastAsia="zh-CN"/>
        </w:rPr>
      </w:pPr>
      <w:r>
        <w:drawing>
          <wp:inline distT="0" distB="0" distL="114300" distR="114300">
            <wp:extent cx="4747260" cy="2400935"/>
            <wp:effectExtent l="4445" t="4445" r="10795" b="1397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jc w:val="center"/>
        <w:rPr>
          <w:rFonts w:hint="eastAsia"/>
          <w:b/>
          <w:bCs/>
          <w:sz w:val="24"/>
          <w:szCs w:val="24"/>
          <w:lang w:val="en-US" w:eastAsia="zh-CN"/>
        </w:rPr>
      </w:pPr>
      <w:r>
        <w:rPr>
          <w:rFonts w:hint="eastAsia"/>
          <w:b/>
          <w:bCs/>
          <w:sz w:val="24"/>
          <w:szCs w:val="24"/>
          <w:lang w:eastAsia="zh-CN"/>
        </w:rPr>
        <w:t>图</w:t>
      </w:r>
      <w:r>
        <w:rPr>
          <w:rFonts w:hint="eastAsia"/>
          <w:b/>
          <w:bCs/>
          <w:sz w:val="24"/>
          <w:szCs w:val="24"/>
          <w:lang w:val="en-US" w:eastAsia="zh-CN"/>
        </w:rPr>
        <w:t>7 名牌茶企销售渠道分布</w:t>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default"/>
          <w:b/>
          <w:bCs/>
          <w:sz w:val="24"/>
          <w:szCs w:val="24"/>
          <w:lang w:val="en-US" w:eastAsia="zh-CN"/>
        </w:rPr>
      </w:pPr>
      <w:r>
        <w:rPr>
          <w:rFonts w:hint="eastAsia"/>
          <w:b/>
          <w:bCs/>
          <w:sz w:val="24"/>
          <w:szCs w:val="24"/>
          <w:lang w:val="en-US" w:eastAsia="zh-CN"/>
        </w:rPr>
        <w:t>表2  2018年各茶类的销售渠道分布</w:t>
      </w:r>
    </w:p>
    <w:tbl>
      <w:tblPr>
        <w:tblStyle w:val="5"/>
        <w:tblW w:w="7795" w:type="dxa"/>
        <w:jc w:val="center"/>
        <w:tblInd w:w="270" w:type="dxa"/>
        <w:tblBorders>
          <w:top w:val="single" w:color="auto" w:sz="12" w:space="0"/>
          <w:left w:val="none" w:color="auto" w:sz="4" w:space="0"/>
          <w:bottom w:val="single" w:color="auto" w:sz="12" w:space="0"/>
          <w:right w:val="none" w:color="auto" w:sz="4" w:space="0"/>
          <w:insideH w:val="none" w:color="auto" w:sz="4" w:space="0"/>
          <w:insideV w:val="none" w:color="auto" w:sz="4" w:space="0"/>
        </w:tblBorders>
        <w:shd w:val="clear" w:color="auto" w:fill="auto"/>
        <w:tblLayout w:type="fixed"/>
        <w:tblCellMar>
          <w:top w:w="0" w:type="dxa"/>
          <w:left w:w="0" w:type="dxa"/>
          <w:bottom w:w="0" w:type="dxa"/>
          <w:right w:w="0" w:type="dxa"/>
        </w:tblCellMar>
      </w:tblPr>
      <w:tblGrid>
        <w:gridCol w:w="1515"/>
        <w:gridCol w:w="1570"/>
        <w:gridCol w:w="1570"/>
        <w:gridCol w:w="1570"/>
        <w:gridCol w:w="1570"/>
      </w:tblGrid>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shd w:val="clear" w:color="auto" w:fill="auto"/>
          <w:tblLayout w:type="fixed"/>
          <w:tblCellMar>
            <w:top w:w="0" w:type="dxa"/>
            <w:left w:w="0" w:type="dxa"/>
            <w:bottom w:w="0" w:type="dxa"/>
            <w:right w:w="0" w:type="dxa"/>
          </w:tblCellMar>
        </w:tblPrEx>
        <w:trPr>
          <w:trHeight w:val="300" w:hRule="atLeast"/>
          <w:jc w:val="center"/>
        </w:trPr>
        <w:tc>
          <w:tcPr>
            <w:tcW w:w="1515" w:type="dxa"/>
            <w:tcBorders>
              <w:left w:val="nil"/>
              <w:bottom w:val="single" w:color="auto" w:sz="8" w:space="0"/>
              <w:right w:val="nil"/>
            </w:tcBorders>
            <w:shd w:val="clear" w:color="auto" w:fill="auto"/>
            <w:noWrap/>
            <w:tcMar>
              <w:top w:w="15" w:type="dxa"/>
              <w:left w:w="15" w:type="dxa"/>
              <w:right w:w="15" w:type="dxa"/>
            </w:tcMar>
            <w:vAlign w:val="center"/>
          </w:tcPr>
          <w:p>
            <w:pPr>
              <w:jc w:val="center"/>
              <w:rPr>
                <w:rFonts w:hint="default" w:ascii="Times New Roman" w:hAnsi="Times New Roman" w:eastAsia="宋体" w:cs="Times New Roman"/>
                <w:i w:val="0"/>
                <w:color w:val="000000"/>
                <w:sz w:val="22"/>
                <w:szCs w:val="22"/>
                <w:u w:val="none"/>
              </w:rPr>
            </w:pPr>
          </w:p>
        </w:tc>
        <w:tc>
          <w:tcPr>
            <w:tcW w:w="1570"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省内销售量占比</w:t>
            </w:r>
          </w:p>
        </w:tc>
        <w:tc>
          <w:tcPr>
            <w:tcW w:w="1570"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省外销售量占比</w:t>
            </w:r>
          </w:p>
        </w:tc>
        <w:tc>
          <w:tcPr>
            <w:tcW w:w="1570"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出口销售量占比</w:t>
            </w:r>
          </w:p>
        </w:tc>
        <w:tc>
          <w:tcPr>
            <w:tcW w:w="1570"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电商销售量占比</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绿茶</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79.21%</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20.75%</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12.10%</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红茶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81.24%</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18.52%</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12.58%</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乌龙茶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72.70%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25.20%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10.80%</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白茶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68.52%</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31.48%</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0.68%</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柑普茶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91.62%</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8.38%</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3.08%</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double" w:color="auto" w:sz="6"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植物饮品茶</w:t>
            </w:r>
          </w:p>
        </w:tc>
        <w:tc>
          <w:tcPr>
            <w:tcW w:w="1570" w:type="dxa"/>
            <w:tcBorders>
              <w:top w:val="nil"/>
              <w:left w:val="nil"/>
              <w:bottom w:val="double" w:color="auto" w:sz="6"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82.58%</w:t>
            </w:r>
          </w:p>
        </w:tc>
        <w:tc>
          <w:tcPr>
            <w:tcW w:w="1570" w:type="dxa"/>
            <w:tcBorders>
              <w:top w:val="nil"/>
              <w:left w:val="nil"/>
              <w:bottom w:val="double" w:color="auto" w:sz="6"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16.16%</w:t>
            </w:r>
          </w:p>
        </w:tc>
        <w:tc>
          <w:tcPr>
            <w:tcW w:w="1570" w:type="dxa"/>
            <w:tcBorders>
              <w:top w:val="nil"/>
              <w:left w:val="nil"/>
              <w:bottom w:val="double" w:color="auto" w:sz="6"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w:t>
            </w:r>
          </w:p>
        </w:tc>
        <w:tc>
          <w:tcPr>
            <w:tcW w:w="1570" w:type="dxa"/>
            <w:tcBorders>
              <w:top w:val="nil"/>
              <w:left w:val="nil"/>
              <w:bottom w:val="double" w:color="auto" w:sz="6"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8.91%</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double" w:color="auto" w:sz="6" w:space="0"/>
              <w:left w:val="nil"/>
              <w:bottom w:val="single" w:color="auto" w:sz="8" w:space="0"/>
              <w:right w:val="nil"/>
            </w:tcBorders>
            <w:shd w:val="clear" w:color="auto" w:fill="auto"/>
            <w:noWrap/>
            <w:tcMar>
              <w:top w:w="15" w:type="dxa"/>
              <w:left w:w="15" w:type="dxa"/>
              <w:right w:w="15" w:type="dxa"/>
            </w:tcMar>
            <w:vAlign w:val="center"/>
          </w:tcPr>
          <w:p>
            <w:pPr>
              <w:jc w:val="center"/>
              <w:rPr>
                <w:rFonts w:hint="default" w:ascii="Times New Roman" w:hAnsi="Times New Roman" w:eastAsia="宋体" w:cs="Times New Roman"/>
                <w:i w:val="0"/>
                <w:color w:val="000000"/>
                <w:sz w:val="22"/>
                <w:szCs w:val="22"/>
                <w:u w:val="none"/>
              </w:rPr>
            </w:pPr>
          </w:p>
        </w:tc>
        <w:tc>
          <w:tcPr>
            <w:tcW w:w="1570" w:type="dxa"/>
            <w:tcBorders>
              <w:top w:val="double" w:color="auto" w:sz="6" w:space="0"/>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省内销售额占比</w:t>
            </w:r>
          </w:p>
        </w:tc>
        <w:tc>
          <w:tcPr>
            <w:tcW w:w="1570" w:type="dxa"/>
            <w:tcBorders>
              <w:top w:val="double" w:color="auto" w:sz="6" w:space="0"/>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省外销售额占比</w:t>
            </w:r>
          </w:p>
        </w:tc>
        <w:tc>
          <w:tcPr>
            <w:tcW w:w="1570" w:type="dxa"/>
            <w:tcBorders>
              <w:top w:val="double" w:color="auto" w:sz="6" w:space="0"/>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出口销售额占比</w:t>
            </w:r>
          </w:p>
        </w:tc>
        <w:tc>
          <w:tcPr>
            <w:tcW w:w="1570" w:type="dxa"/>
            <w:tcBorders>
              <w:top w:val="double" w:color="auto" w:sz="6" w:space="0"/>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电商销售额占比</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绿茶</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82.08%</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17.74%</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w:t>
            </w:r>
          </w:p>
        </w:tc>
        <w:tc>
          <w:tcPr>
            <w:tcW w:w="1570"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3.43%</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红茶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80.58%</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18.88%</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13.96%</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乌龙茶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71.34%</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25.00%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FF0000"/>
                <w:kern w:val="0"/>
                <w:sz w:val="22"/>
                <w:szCs w:val="22"/>
                <w:u w:val="none"/>
                <w:lang w:val="en-US" w:eastAsia="zh-CN" w:bidi="ar"/>
              </w:rPr>
              <w:t>3.66%</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12.79%</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00"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白茶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67.38%</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FF0000"/>
                <w:kern w:val="0"/>
                <w:sz w:val="22"/>
                <w:szCs w:val="22"/>
                <w:u w:val="none"/>
                <w:lang w:val="en-US" w:eastAsia="zh-CN" w:bidi="ar"/>
              </w:rPr>
              <w:t>32.62%</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10.13%</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13" w:hRule="atLeast"/>
          <w:jc w:val="center"/>
        </w:trPr>
        <w:tc>
          <w:tcPr>
            <w:tcW w:w="151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柑普茶</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92.03%</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7.97%</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w:t>
            </w:r>
          </w:p>
        </w:tc>
        <w:tc>
          <w:tcPr>
            <w:tcW w:w="15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5.89%</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42" w:hRule="atLeast"/>
          <w:jc w:val="center"/>
        </w:trPr>
        <w:tc>
          <w:tcPr>
            <w:tcW w:w="1515"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植物饮品茶</w:t>
            </w:r>
          </w:p>
        </w:tc>
        <w:tc>
          <w:tcPr>
            <w:tcW w:w="1570"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92.93%</w:t>
            </w:r>
          </w:p>
        </w:tc>
        <w:tc>
          <w:tcPr>
            <w:tcW w:w="1570"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6.85%</w:t>
            </w:r>
          </w:p>
        </w:tc>
        <w:tc>
          <w:tcPr>
            <w:tcW w:w="1570"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w:t>
            </w:r>
          </w:p>
        </w:tc>
        <w:tc>
          <w:tcPr>
            <w:tcW w:w="1570"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11.29%</w:t>
            </w:r>
          </w:p>
        </w:tc>
      </w:tr>
    </w:tbl>
    <w:p>
      <w:pPr>
        <w:bidi w:val="0"/>
        <w:ind w:firstLine="560"/>
        <w:rPr>
          <w:rFonts w:hint="default"/>
          <w:lang w:val="en-US" w:eastAsia="zh-CN"/>
        </w:rPr>
      </w:pPr>
      <w:r>
        <w:rPr>
          <w:rFonts w:hint="eastAsia"/>
          <w:lang w:val="en-US" w:eastAsia="zh-CN"/>
        </w:rPr>
        <w:t>从各茶类的销售分布和同比变化来看，广东乌龙茶有出口优势；白茶省外销售优势明显；柑普茶和植物饮品茶省内销售有优势。绿茶、红茶、乌龙茶的线上销售量均超过了10%，但绿茶线上价格偏低。</w:t>
      </w:r>
    </w:p>
    <w:p>
      <w:pPr>
        <w:bidi w:val="0"/>
        <w:ind w:firstLine="560" w:firstLineChars="200"/>
        <w:rPr>
          <w:rFonts w:hint="default"/>
          <w:lang w:val="en-US" w:eastAsia="zh-CN"/>
        </w:rPr>
      </w:pPr>
      <w:r>
        <w:rPr>
          <w:rFonts w:hint="eastAsia"/>
          <w:lang w:val="en-US" w:eastAsia="zh-CN"/>
        </w:rPr>
        <w:t>整体来看，广东省名牌茶叶以省内线下传统销售渠道为主，省外销售和出口面临较大压力，线上绿茶价格竞争激烈。名牌企业需积极调整各渠道的产品结构和营销策略。</w:t>
      </w:r>
    </w:p>
    <w:p>
      <w:pPr>
        <w:bidi w:val="0"/>
        <w:jc w:val="center"/>
        <w:rPr>
          <w:rFonts w:hint="eastAsia"/>
          <w:lang w:val="en-US" w:eastAsia="zh-CN"/>
        </w:rPr>
      </w:pPr>
      <w:r>
        <w:rPr>
          <w:rFonts w:hint="eastAsia"/>
          <w:lang w:val="en-US" w:eastAsia="zh-CN"/>
        </w:rPr>
        <w:t>表3  2018年各茶类的销售量与销售额同比变化</w:t>
      </w:r>
    </w:p>
    <w:tbl>
      <w:tblPr>
        <w:tblStyle w:val="5"/>
        <w:tblW w:w="8674" w:type="dxa"/>
        <w:jc w:val="center"/>
        <w:tblInd w:w="86" w:type="dxa"/>
        <w:tblBorders>
          <w:top w:val="single" w:color="auto" w:sz="12" w:space="0"/>
          <w:left w:val="none" w:color="auto" w:sz="4" w:space="0"/>
          <w:bottom w:val="single" w:color="auto" w:sz="12" w:space="0"/>
          <w:right w:val="none" w:color="auto" w:sz="4" w:space="0"/>
          <w:insideH w:val="none" w:color="auto" w:sz="4" w:space="0"/>
          <w:insideV w:val="none" w:color="auto" w:sz="4" w:space="0"/>
        </w:tblBorders>
        <w:shd w:val="clear" w:color="auto" w:fill="auto"/>
        <w:tblLayout w:type="fixed"/>
        <w:tblCellMar>
          <w:top w:w="0" w:type="dxa"/>
          <w:left w:w="0" w:type="dxa"/>
          <w:bottom w:w="0" w:type="dxa"/>
          <w:right w:w="0" w:type="dxa"/>
        </w:tblCellMar>
      </w:tblPr>
      <w:tblGrid>
        <w:gridCol w:w="1118"/>
        <w:gridCol w:w="934"/>
        <w:gridCol w:w="962"/>
        <w:gridCol w:w="962"/>
        <w:gridCol w:w="934"/>
        <w:gridCol w:w="892"/>
        <w:gridCol w:w="948"/>
        <w:gridCol w:w="962"/>
        <w:gridCol w:w="962"/>
      </w:tblGrid>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shd w:val="clear" w:color="auto" w:fill="auto"/>
          <w:tblLayout w:type="fixed"/>
          <w:tblCellMar>
            <w:top w:w="0" w:type="dxa"/>
            <w:left w:w="0" w:type="dxa"/>
            <w:bottom w:w="0" w:type="dxa"/>
            <w:right w:w="0" w:type="dxa"/>
          </w:tblCellMar>
        </w:tblPrEx>
        <w:trPr>
          <w:trHeight w:val="90" w:hRule="atLeast"/>
          <w:jc w:val="center"/>
        </w:trPr>
        <w:tc>
          <w:tcPr>
            <w:tcW w:w="1118" w:type="dxa"/>
            <w:tcBorders>
              <w:left w:val="nil"/>
              <w:bottom w:val="single" w:color="auto" w:sz="8" w:space="0"/>
              <w:right w:val="nil"/>
            </w:tcBorders>
            <w:shd w:val="clear" w:color="auto" w:fill="auto"/>
            <w:noWrap/>
            <w:tcMar>
              <w:top w:w="15" w:type="dxa"/>
              <w:left w:w="15" w:type="dxa"/>
              <w:right w:w="15" w:type="dxa"/>
            </w:tcMar>
            <w:vAlign w:val="center"/>
          </w:tcPr>
          <w:p>
            <w:pPr>
              <w:jc w:val="center"/>
              <w:rPr>
                <w:rFonts w:hint="default" w:ascii="Times New Roman" w:hAnsi="Times New Roman" w:eastAsia="宋体" w:cs="Times New Roman"/>
                <w:i w:val="0"/>
                <w:color w:val="000000"/>
                <w:sz w:val="21"/>
                <w:szCs w:val="21"/>
                <w:u w:val="none"/>
              </w:rPr>
            </w:pPr>
          </w:p>
        </w:tc>
        <w:tc>
          <w:tcPr>
            <w:tcW w:w="934"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省内销售量同比</w:t>
            </w:r>
          </w:p>
        </w:tc>
        <w:tc>
          <w:tcPr>
            <w:tcW w:w="962"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省内销售额同比</w:t>
            </w:r>
          </w:p>
        </w:tc>
        <w:tc>
          <w:tcPr>
            <w:tcW w:w="962"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省外销售量同比</w:t>
            </w:r>
          </w:p>
        </w:tc>
        <w:tc>
          <w:tcPr>
            <w:tcW w:w="934"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省外销售额同比</w:t>
            </w:r>
          </w:p>
        </w:tc>
        <w:tc>
          <w:tcPr>
            <w:tcW w:w="892"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出口销售量同比</w:t>
            </w:r>
          </w:p>
        </w:tc>
        <w:tc>
          <w:tcPr>
            <w:tcW w:w="948"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出口销售额同比</w:t>
            </w:r>
          </w:p>
        </w:tc>
        <w:tc>
          <w:tcPr>
            <w:tcW w:w="962"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电商销售量同比</w:t>
            </w:r>
          </w:p>
        </w:tc>
        <w:tc>
          <w:tcPr>
            <w:tcW w:w="962" w:type="dxa"/>
            <w:tcBorders>
              <w:left w:val="nil"/>
              <w:bottom w:val="single" w:color="auto" w:sz="8"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电商销售额同比</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50" w:hRule="atLeast"/>
          <w:jc w:val="center"/>
        </w:trPr>
        <w:tc>
          <w:tcPr>
            <w:tcW w:w="1118"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Style w:val="6"/>
                <w:sz w:val="21"/>
                <w:szCs w:val="21"/>
                <w:lang w:val="en-US" w:eastAsia="zh-CN" w:bidi="ar"/>
              </w:rPr>
              <w:t>绿茶</w:t>
            </w:r>
          </w:p>
        </w:tc>
        <w:tc>
          <w:tcPr>
            <w:tcW w:w="934"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6.60%</w:t>
            </w:r>
          </w:p>
        </w:tc>
        <w:tc>
          <w:tcPr>
            <w:tcW w:w="962"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4.59%</w:t>
            </w:r>
          </w:p>
        </w:tc>
        <w:tc>
          <w:tcPr>
            <w:tcW w:w="962"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7.29%</w:t>
            </w:r>
          </w:p>
        </w:tc>
        <w:tc>
          <w:tcPr>
            <w:tcW w:w="934"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2.10%</w:t>
            </w:r>
          </w:p>
        </w:tc>
        <w:tc>
          <w:tcPr>
            <w:tcW w:w="892"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-94.89%</w:t>
            </w:r>
          </w:p>
        </w:tc>
        <w:tc>
          <w:tcPr>
            <w:tcW w:w="948"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-79.91%</w:t>
            </w:r>
          </w:p>
        </w:tc>
        <w:tc>
          <w:tcPr>
            <w:tcW w:w="962"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30.10%</w:t>
            </w:r>
          </w:p>
        </w:tc>
        <w:tc>
          <w:tcPr>
            <w:tcW w:w="962" w:type="dxa"/>
            <w:tcBorders>
              <w:top w:val="single" w:color="auto" w:sz="8" w:space="0"/>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5.94%</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49" w:hRule="atLeast"/>
          <w:jc w:val="center"/>
        </w:trPr>
        <w:tc>
          <w:tcPr>
            <w:tcW w:w="111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Style w:val="6"/>
                <w:sz w:val="21"/>
                <w:szCs w:val="21"/>
                <w:lang w:val="en-US" w:eastAsia="zh-CN" w:bidi="ar"/>
              </w:rPr>
              <w:t>红茶</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-4.15%</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-3.24%</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-1.88%</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3.22%</w:t>
            </w:r>
          </w:p>
        </w:tc>
        <w:tc>
          <w:tcPr>
            <w:tcW w:w="89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-80.28%</w:t>
            </w:r>
          </w:p>
        </w:tc>
        <w:tc>
          <w:tcPr>
            <w:tcW w:w="94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-46.15%</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3.12%</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-4.36%</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35" w:hRule="atLeast"/>
          <w:jc w:val="center"/>
        </w:trPr>
        <w:tc>
          <w:tcPr>
            <w:tcW w:w="111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Style w:val="6"/>
                <w:sz w:val="21"/>
                <w:szCs w:val="21"/>
                <w:lang w:val="en-US" w:eastAsia="zh-CN" w:bidi="ar"/>
              </w:rPr>
              <w:t>乌龙茶</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-3.99%</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3.96%</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-12.71%</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-0.53%</w:t>
            </w:r>
          </w:p>
        </w:tc>
        <w:tc>
          <w:tcPr>
            <w:tcW w:w="89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0.88%</w:t>
            </w:r>
          </w:p>
        </w:tc>
        <w:tc>
          <w:tcPr>
            <w:tcW w:w="94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4.56%</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13.26%</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7.06%</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35" w:hRule="atLeast"/>
          <w:jc w:val="center"/>
        </w:trPr>
        <w:tc>
          <w:tcPr>
            <w:tcW w:w="111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白茶</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2"/>
                <w:szCs w:val="22"/>
                <w:u w:val="none"/>
                <w:lang w:val="en-US" w:eastAsia="zh-CN" w:bidi="ar"/>
              </w:rPr>
              <w:t>1.17%</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9.49%</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cs="Times New Roman"/>
                <w:i w:val="0"/>
                <w:color w:val="000000"/>
                <w:kern w:val="0"/>
                <w:sz w:val="21"/>
                <w:szCs w:val="21"/>
                <w:u w:val="none"/>
                <w:lang w:val="en-US" w:eastAsia="zh-CN" w:bidi="ar"/>
              </w:rPr>
              <w:t>1.42</w:t>
            </w:r>
            <w:r>
              <w:rPr>
                <w:rFonts w:hint="default" w:ascii="Times New Roman" w:hAnsi="Times New Roman" w:eastAsia="宋体" w:cs="Times New Roman"/>
                <w:i w:val="0"/>
                <w:color w:val="000000"/>
                <w:kern w:val="0"/>
                <w:sz w:val="21"/>
                <w:szCs w:val="21"/>
                <w:u w:val="none"/>
                <w:lang w:val="en-US" w:eastAsia="zh-CN" w:bidi="ar"/>
              </w:rPr>
              <w:t>%</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10.08%</w:t>
            </w:r>
          </w:p>
        </w:tc>
        <w:tc>
          <w:tcPr>
            <w:tcW w:w="892" w:type="dxa"/>
            <w:tcBorders>
              <w:top w:val="nil"/>
              <w:left w:val="nil"/>
              <w:bottom w:val="nil"/>
              <w:right w:val="nil"/>
            </w:tcBorders>
            <w:shd w:val="clear" w:color="auto" w:fill="auto"/>
            <w:noWrap/>
            <w:tcMar>
              <w:top w:w="15" w:type="dxa"/>
              <w:left w:w="15" w:type="dxa"/>
              <w:right w:w="15" w:type="dxa"/>
            </w:tcMar>
            <w:vAlign w:val="center"/>
          </w:tcPr>
          <w:p>
            <w:pPr>
              <w:jc w:val="center"/>
              <w:rPr>
                <w:rFonts w:hint="default" w:ascii="Times New Roman" w:hAnsi="Times New Roman" w:eastAsia="宋体" w:cs="Times New Roman"/>
                <w:i w:val="0"/>
                <w:color w:val="000000"/>
                <w:sz w:val="21"/>
                <w:szCs w:val="21"/>
                <w:u w:val="none"/>
              </w:rPr>
            </w:pPr>
          </w:p>
        </w:tc>
        <w:tc>
          <w:tcPr>
            <w:tcW w:w="948" w:type="dxa"/>
            <w:tcBorders>
              <w:top w:val="nil"/>
              <w:left w:val="nil"/>
              <w:bottom w:val="nil"/>
              <w:right w:val="nil"/>
            </w:tcBorders>
            <w:shd w:val="clear" w:color="auto" w:fill="auto"/>
            <w:noWrap/>
            <w:tcMar>
              <w:top w:w="15" w:type="dxa"/>
              <w:left w:w="15" w:type="dxa"/>
              <w:right w:w="15" w:type="dxa"/>
            </w:tcMar>
            <w:vAlign w:val="center"/>
          </w:tcPr>
          <w:p>
            <w:pPr>
              <w:jc w:val="center"/>
              <w:rPr>
                <w:rFonts w:hint="default" w:ascii="Times New Roman" w:hAnsi="Times New Roman" w:eastAsia="宋体" w:cs="Times New Roman"/>
                <w:i w:val="0"/>
                <w:color w:val="000000"/>
                <w:sz w:val="21"/>
                <w:szCs w:val="21"/>
                <w:u w:val="none"/>
              </w:rPr>
            </w:pP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9.09%</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3.45%</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63" w:hRule="atLeast"/>
          <w:jc w:val="center"/>
        </w:trPr>
        <w:tc>
          <w:tcPr>
            <w:tcW w:w="111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Style w:val="6"/>
                <w:sz w:val="21"/>
                <w:szCs w:val="21"/>
                <w:lang w:val="en-US" w:eastAsia="zh-CN" w:bidi="ar"/>
              </w:rPr>
              <w:t>柑普茶</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12.23%</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22.61%</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-50.59%</w:t>
            </w:r>
          </w:p>
        </w:tc>
        <w:tc>
          <w:tcPr>
            <w:tcW w:w="9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-44.93%</w:t>
            </w:r>
          </w:p>
        </w:tc>
        <w:tc>
          <w:tcPr>
            <w:tcW w:w="892" w:type="dxa"/>
            <w:tcBorders>
              <w:top w:val="nil"/>
              <w:left w:val="nil"/>
              <w:bottom w:val="nil"/>
              <w:right w:val="nil"/>
            </w:tcBorders>
            <w:shd w:val="clear" w:color="auto" w:fill="auto"/>
            <w:noWrap/>
            <w:tcMar>
              <w:top w:w="15" w:type="dxa"/>
              <w:left w:w="15" w:type="dxa"/>
              <w:right w:w="15" w:type="dxa"/>
            </w:tcMar>
            <w:vAlign w:val="center"/>
          </w:tcPr>
          <w:p>
            <w:pPr>
              <w:jc w:val="center"/>
              <w:rPr>
                <w:rFonts w:hint="default" w:ascii="Times New Roman" w:hAnsi="Times New Roman" w:eastAsia="宋体" w:cs="Times New Roman"/>
                <w:i w:val="0"/>
                <w:color w:val="000000"/>
                <w:sz w:val="21"/>
                <w:szCs w:val="21"/>
                <w:u w:val="none"/>
              </w:rPr>
            </w:pPr>
          </w:p>
        </w:tc>
        <w:tc>
          <w:tcPr>
            <w:tcW w:w="948" w:type="dxa"/>
            <w:tcBorders>
              <w:top w:val="nil"/>
              <w:left w:val="nil"/>
              <w:bottom w:val="nil"/>
              <w:right w:val="nil"/>
            </w:tcBorders>
            <w:shd w:val="clear" w:color="auto" w:fill="auto"/>
            <w:noWrap/>
            <w:tcMar>
              <w:top w:w="15" w:type="dxa"/>
              <w:left w:w="15" w:type="dxa"/>
              <w:right w:w="15" w:type="dxa"/>
            </w:tcMar>
            <w:vAlign w:val="center"/>
          </w:tcPr>
          <w:p>
            <w:pPr>
              <w:jc w:val="center"/>
              <w:rPr>
                <w:rFonts w:hint="default" w:ascii="Times New Roman" w:hAnsi="Times New Roman" w:eastAsia="宋体" w:cs="Times New Roman"/>
                <w:i w:val="0"/>
                <w:color w:val="000000"/>
                <w:sz w:val="21"/>
                <w:szCs w:val="21"/>
                <w:u w:val="none"/>
              </w:rPr>
            </w:pP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14.87%</w:t>
            </w:r>
          </w:p>
        </w:tc>
        <w:tc>
          <w:tcPr>
            <w:tcW w:w="962"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22.19%</w:t>
            </w:r>
          </w:p>
        </w:tc>
      </w:tr>
      <w:tr>
        <w:tblPrEx>
          <w:tblBorders>
            <w:top w:val="single" w:color="auto" w:sz="12" w:space="0"/>
            <w:left w:val="none" w:color="auto" w:sz="4" w:space="0"/>
            <w:bottom w:val="single" w:color="auto" w:sz="12"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378" w:hRule="atLeast"/>
          <w:jc w:val="center"/>
        </w:trPr>
        <w:tc>
          <w:tcPr>
            <w:tcW w:w="1118"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植物饮品茶</w:t>
            </w:r>
          </w:p>
        </w:tc>
        <w:tc>
          <w:tcPr>
            <w:tcW w:w="934"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14.71%</w:t>
            </w:r>
          </w:p>
        </w:tc>
        <w:tc>
          <w:tcPr>
            <w:tcW w:w="962"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7.03%</w:t>
            </w:r>
          </w:p>
        </w:tc>
        <w:tc>
          <w:tcPr>
            <w:tcW w:w="962"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24.54%</w:t>
            </w:r>
          </w:p>
        </w:tc>
        <w:tc>
          <w:tcPr>
            <w:tcW w:w="934"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0.85%</w:t>
            </w:r>
          </w:p>
        </w:tc>
        <w:tc>
          <w:tcPr>
            <w:tcW w:w="892"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-19.44%</w:t>
            </w:r>
          </w:p>
        </w:tc>
        <w:tc>
          <w:tcPr>
            <w:tcW w:w="948"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-12.63%</w:t>
            </w:r>
          </w:p>
        </w:tc>
        <w:tc>
          <w:tcPr>
            <w:tcW w:w="962"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7.83%</w:t>
            </w:r>
          </w:p>
        </w:tc>
        <w:tc>
          <w:tcPr>
            <w:tcW w:w="962" w:type="dxa"/>
            <w:tcBorders>
              <w:top w:val="nil"/>
              <w:left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1.63%</w:t>
            </w:r>
          </w:p>
        </w:tc>
      </w:tr>
    </w:tbl>
    <w:p>
      <w:pPr>
        <w:jc w:val="both"/>
        <w:rPr>
          <w:rFonts w:hint="default"/>
          <w:lang w:val="en-US" w:eastAsia="zh-CN"/>
        </w:rPr>
      </w:pPr>
    </w:p>
    <w:p>
      <w:pPr>
        <w:pStyle w:val="2"/>
      </w:pPr>
      <w:r>
        <w:rPr>
          <w:rFonts w:hint="eastAsia"/>
          <w:lang w:eastAsia="zh-CN"/>
        </w:rPr>
        <w:t>四、</w:t>
      </w:r>
      <w:r>
        <w:rPr>
          <w:rFonts w:hint="eastAsia"/>
        </w:rPr>
        <w:t>名牌茶产品</w:t>
      </w:r>
      <w:r>
        <w:rPr>
          <w:rFonts w:hint="eastAsia"/>
          <w:lang w:eastAsia="zh-CN"/>
        </w:rPr>
        <w:t>效益</w:t>
      </w:r>
      <w:r>
        <w:rPr>
          <w:rFonts w:hint="eastAsia"/>
        </w:rPr>
        <w:t>分析</w:t>
      </w:r>
    </w:p>
    <w:p>
      <w:pPr>
        <w:pStyle w:val="3"/>
        <w:rPr>
          <w:rFonts w:hint="eastAsia"/>
          <w:lang w:eastAsia="zh-CN"/>
        </w:rPr>
      </w:pPr>
      <w:r>
        <w:rPr>
          <w:rFonts w:hint="eastAsia"/>
          <w:lang w:eastAsia="zh-CN"/>
        </w:rPr>
        <w:t>（一）名牌茶产品的经济效益</w:t>
      </w:r>
    </w:p>
    <w:p>
      <w:pPr>
        <w:ind w:firstLine="560" w:firstLineChars="200"/>
        <w:rPr>
          <w:rFonts w:hint="default" w:eastAsia="宋体"/>
          <w:lang w:val="en-US" w:eastAsia="zh-CN"/>
        </w:rPr>
      </w:pPr>
      <w:r>
        <w:rPr>
          <w:rFonts w:hint="eastAsia"/>
          <w:lang w:val="en-US" w:eastAsia="zh-CN"/>
        </w:rPr>
        <w:t>从名牌企业的数据来看，2018年</w:t>
      </w:r>
      <w:r>
        <w:rPr>
          <w:rFonts w:hint="eastAsia"/>
          <w:szCs w:val="28"/>
          <w:lang w:val="en-US" w:eastAsia="zh-CN"/>
        </w:rPr>
        <w:t>名牌茶产品的平均销售单价为388.17元/千克，比2017年同比上涨了2.13%。分茶类来看，2018年柑普茶的平均销售单价最高，为1242.4元/千克；其次是红茶，平均销售单价为428.37元/千克；其他茶类平均销售单价均在300~400元/千克左右。相比2017年，红茶、乌龙茶、白茶、柑普茶平均销售单价均有上升，柑普茶的单价上升幅度最大；绿茶和植物饮品茶的平均销售单价小幅下跌。</w:t>
      </w:r>
    </w:p>
    <w:p>
      <w:pPr>
        <w:jc w:val="center"/>
      </w:pPr>
      <w:r>
        <w:drawing>
          <wp:inline distT="0" distB="0" distL="114300" distR="114300">
            <wp:extent cx="5027930" cy="2267585"/>
            <wp:effectExtent l="4445" t="4445" r="15875" b="13970"/>
            <wp:docPr id="10"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center"/>
        <w:rPr>
          <w:rFonts w:hint="eastAsia"/>
          <w:lang w:eastAsia="zh-CN"/>
        </w:rPr>
      </w:pPr>
      <w:r>
        <w:rPr>
          <w:rFonts w:hint="eastAsia"/>
          <w:lang w:eastAsia="zh-CN"/>
        </w:rPr>
        <w:t>图</w:t>
      </w:r>
      <w:r>
        <w:rPr>
          <w:rFonts w:hint="eastAsia"/>
          <w:lang w:val="en-US" w:eastAsia="zh-CN"/>
        </w:rPr>
        <w:t>8  2018年各茶类的平均销售单价</w:t>
      </w:r>
    </w:p>
    <w:p>
      <w:pPr>
        <w:ind w:firstLine="560"/>
        <w:rPr>
          <w:rFonts w:hint="default"/>
          <w:szCs w:val="28"/>
          <w:lang w:val="en-US" w:eastAsia="zh-CN"/>
        </w:rPr>
      </w:pPr>
      <w:r>
        <w:rPr>
          <w:rFonts w:hint="eastAsia"/>
          <w:szCs w:val="28"/>
          <w:lang w:val="en-US" w:eastAsia="zh-CN"/>
        </w:rPr>
        <w:t>2018年，名牌茶产品的总产值达28.56亿元，亩均产值1.5472万元/亩，利润总额2.9461亿元，销售利润率达10.41%。相比2017年，利润总额增长了3.04%，利润率增加了0.09%。</w:t>
      </w:r>
    </w:p>
    <w:p>
      <w:pPr>
        <w:jc w:val="center"/>
      </w:pPr>
      <w:r>
        <w:drawing>
          <wp:inline distT="0" distB="0" distL="114300" distR="114300">
            <wp:extent cx="4780915" cy="2110105"/>
            <wp:effectExtent l="4445" t="4445" r="15240" b="19050"/>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center"/>
        <w:rPr>
          <w:rFonts w:hint="default" w:eastAsia="宋体"/>
          <w:lang w:val="en-US" w:eastAsia="zh-CN"/>
        </w:rPr>
      </w:pPr>
      <w:r>
        <w:rPr>
          <w:rFonts w:hint="eastAsia"/>
          <w:lang w:eastAsia="zh-CN"/>
        </w:rPr>
        <w:t>图</w:t>
      </w:r>
      <w:r>
        <w:rPr>
          <w:rFonts w:hint="eastAsia"/>
          <w:lang w:val="en-US" w:eastAsia="zh-CN"/>
        </w:rPr>
        <w:t>9  2018年各茶类亩均产值</w:t>
      </w:r>
    </w:p>
    <w:p>
      <w:pPr>
        <w:ind w:firstLine="560"/>
        <w:rPr>
          <w:rFonts w:hint="default"/>
          <w:szCs w:val="28"/>
          <w:lang w:val="en-US" w:eastAsia="zh-CN"/>
        </w:rPr>
      </w:pPr>
      <w:r>
        <w:rPr>
          <w:rFonts w:hint="eastAsia"/>
          <w:szCs w:val="28"/>
          <w:lang w:val="en-US" w:eastAsia="zh-CN"/>
        </w:rPr>
        <w:t>从各茶类的亩均产值来看，柑普茶的亩均产值最高，达到了3.6871万元/亩；其次是乌龙茶，亩均产值为1.9187万元/亩；绿茶、红茶、白茶和植物饮品茶的亩均产值也都超过了1万元。从各茶类的销售利润率来看，2018年，红茶的销售利润率最高，达到了14.82%；其次是乌龙茶，为11.98%；绿茶的销售利润率最低，仅有3.29%。相比2017年，除乌龙茶的销售利润率小幅下降外，其他茶类的利润率都有上升，尤其是白茶的利润率上涨幅度最大。</w:t>
      </w:r>
    </w:p>
    <w:p>
      <w:pPr>
        <w:jc w:val="center"/>
      </w:pPr>
      <w:r>
        <w:drawing>
          <wp:inline distT="0" distB="0" distL="114300" distR="114300">
            <wp:extent cx="4944110" cy="2275205"/>
            <wp:effectExtent l="4445" t="4445" r="23495" b="6350"/>
            <wp:docPr id="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rFonts w:hint="eastAsia"/>
          <w:lang w:val="en-US" w:eastAsia="zh-CN"/>
        </w:rPr>
      </w:pPr>
      <w:r>
        <w:rPr>
          <w:rFonts w:hint="eastAsia"/>
          <w:lang w:eastAsia="zh-CN"/>
        </w:rPr>
        <w:t>图</w:t>
      </w:r>
      <w:r>
        <w:rPr>
          <w:rFonts w:hint="eastAsia"/>
          <w:lang w:val="en-US" w:eastAsia="zh-CN"/>
        </w:rPr>
        <w:t>10 各茶类销售利润率</w:t>
      </w:r>
    </w:p>
    <w:p>
      <w:pPr>
        <w:pStyle w:val="3"/>
        <w:rPr>
          <w:rFonts w:hint="eastAsia"/>
          <w:lang w:eastAsia="zh-CN"/>
        </w:rPr>
      </w:pPr>
      <w:r>
        <w:rPr>
          <w:rFonts w:hint="eastAsia"/>
          <w:lang w:eastAsia="zh-CN"/>
        </w:rPr>
        <w:t>（二）名牌茶产品的社会效益</w:t>
      </w:r>
    </w:p>
    <w:p>
      <w:pPr>
        <w:numPr>
          <w:ilvl w:val="0"/>
          <w:numId w:val="0"/>
        </w:numPr>
        <w:ind w:firstLine="560"/>
        <w:rPr>
          <w:rFonts w:hint="default"/>
          <w:szCs w:val="28"/>
          <w:lang w:val="en-US" w:eastAsia="zh-CN"/>
        </w:rPr>
      </w:pPr>
      <w:r>
        <w:rPr>
          <w:rFonts w:hint="eastAsia"/>
          <w:szCs w:val="28"/>
          <w:lang w:val="en-US" w:eastAsia="zh-CN"/>
        </w:rPr>
        <w:t>2018年，名牌茶企带动农户</w:t>
      </w:r>
      <w:r>
        <w:rPr>
          <w:rFonts w:hint="eastAsia"/>
          <w:szCs w:val="28"/>
          <w:lang w:eastAsia="zh-CN"/>
        </w:rPr>
        <w:t>97893户，平均每家名牌茶企带动</w:t>
      </w:r>
      <w:r>
        <w:rPr>
          <w:rFonts w:hint="eastAsia"/>
          <w:szCs w:val="28"/>
          <w:lang w:val="en-US" w:eastAsia="zh-CN"/>
        </w:rPr>
        <w:t>941户；名牌茶企</w:t>
      </w:r>
      <w:r>
        <w:rPr>
          <w:rFonts w:hint="eastAsia"/>
          <w:szCs w:val="28"/>
          <w:lang w:eastAsia="zh-CN"/>
        </w:rPr>
        <w:t>带动农户增收总额达9</w:t>
      </w:r>
      <w:r>
        <w:rPr>
          <w:rFonts w:hint="eastAsia"/>
          <w:szCs w:val="28"/>
          <w:lang w:val="en-US" w:eastAsia="zh-CN"/>
        </w:rPr>
        <w:t>.</w:t>
      </w:r>
      <w:r>
        <w:rPr>
          <w:rFonts w:hint="eastAsia"/>
          <w:szCs w:val="28"/>
          <w:lang w:eastAsia="zh-CN"/>
        </w:rPr>
        <w:t>175</w:t>
      </w:r>
      <w:r>
        <w:rPr>
          <w:rFonts w:hint="eastAsia"/>
          <w:szCs w:val="28"/>
          <w:lang w:val="en-US" w:eastAsia="zh-CN"/>
        </w:rPr>
        <w:t>1</w:t>
      </w:r>
      <w:r>
        <w:rPr>
          <w:rFonts w:hint="eastAsia"/>
          <w:szCs w:val="28"/>
          <w:lang w:eastAsia="zh-CN"/>
        </w:rPr>
        <w:t>亿元，平均每家名牌茶企带动农户增收</w:t>
      </w:r>
      <w:r>
        <w:rPr>
          <w:rFonts w:hint="eastAsia"/>
          <w:szCs w:val="28"/>
          <w:lang w:val="en-US" w:eastAsia="zh-CN"/>
        </w:rPr>
        <w:t>882.22万元，</w:t>
      </w:r>
      <w:r>
        <w:rPr>
          <w:rFonts w:hint="eastAsia"/>
          <w:szCs w:val="28"/>
          <w:lang w:eastAsia="zh-CN"/>
        </w:rPr>
        <w:t>平均每户增收</w:t>
      </w:r>
      <w:r>
        <w:rPr>
          <w:rFonts w:hint="eastAsia"/>
          <w:szCs w:val="28"/>
          <w:lang w:val="en-US" w:eastAsia="zh-CN"/>
        </w:rPr>
        <w:t>9372.58元</w:t>
      </w:r>
      <w:r>
        <w:rPr>
          <w:rFonts w:hint="eastAsia"/>
          <w:szCs w:val="28"/>
          <w:lang w:eastAsia="zh-CN"/>
        </w:rPr>
        <w:t>。</w:t>
      </w:r>
      <w:r>
        <w:rPr>
          <w:rFonts w:hint="eastAsia"/>
          <w:szCs w:val="28"/>
          <w:lang w:val="en-US" w:eastAsia="zh-CN"/>
        </w:rPr>
        <w:t>名牌茶企带动农户增收效果明显。</w:t>
      </w:r>
    </w:p>
    <w:p>
      <w:pPr>
        <w:pStyle w:val="2"/>
        <w:rPr>
          <w:rFonts w:hint="eastAsia"/>
          <w:lang w:val="en-US" w:eastAsia="zh-CN"/>
        </w:rPr>
      </w:pPr>
      <w:r>
        <w:rPr>
          <w:rFonts w:hint="eastAsia"/>
          <w:lang w:val="en-US" w:eastAsia="zh-CN"/>
        </w:rPr>
        <w:t xml:space="preserve"> 五、广东茶产业发展对策建议</w:t>
      </w:r>
    </w:p>
    <w:p>
      <w:pPr>
        <w:pStyle w:val="3"/>
        <w:rPr>
          <w:rFonts w:hint="eastAsia"/>
          <w:lang w:val="en-US" w:eastAsia="zh-CN"/>
        </w:rPr>
      </w:pPr>
      <w:r>
        <w:rPr>
          <w:rFonts w:hint="eastAsia"/>
          <w:lang w:val="en-US" w:eastAsia="zh-CN"/>
        </w:rPr>
        <w:t>（一）加强茶叶标准体系与质量安全体系建设</w:t>
      </w:r>
    </w:p>
    <w:p>
      <w:pPr>
        <w:numPr>
          <w:ilvl w:val="0"/>
          <w:numId w:val="0"/>
        </w:numPr>
        <w:ind w:firstLine="560"/>
        <w:rPr>
          <w:rFonts w:hint="default"/>
          <w:lang w:val="en-US" w:eastAsia="zh-CN"/>
        </w:rPr>
      </w:pPr>
      <w:r>
        <w:rPr>
          <w:rFonts w:hint="eastAsia"/>
          <w:lang w:val="en-US" w:eastAsia="zh-CN"/>
        </w:rPr>
        <w:t>近年来，广东省逐步发布了一系列茶叶类地理标志保护产品的地方标准，但地方标准的发布只是茶叶标准体系建设的第一步，标准的监督实施和茶叶质量的监控监管才是茶叶标准体系建设的重点与难点。</w:t>
      </w:r>
      <w:r>
        <w:rPr>
          <w:rFonts w:hint="default"/>
          <w:lang w:val="en-US" w:eastAsia="zh-CN"/>
        </w:rPr>
        <w:t>广东</w:t>
      </w:r>
      <w:r>
        <w:rPr>
          <w:rFonts w:hint="eastAsia"/>
          <w:lang w:val="en-US" w:eastAsia="zh-CN"/>
        </w:rPr>
        <w:t>省</w:t>
      </w:r>
      <w:r>
        <w:rPr>
          <w:rFonts w:hint="default"/>
          <w:lang w:val="en-US" w:eastAsia="zh-CN"/>
        </w:rPr>
        <w:t>应逐渐完善广东特色茶叶产品标准体系</w:t>
      </w:r>
      <w:r>
        <w:rPr>
          <w:rFonts w:hint="eastAsia"/>
          <w:lang w:val="en-US" w:eastAsia="zh-CN"/>
        </w:rPr>
        <w:t>，</w:t>
      </w:r>
      <w:r>
        <w:rPr>
          <w:rFonts w:hint="default"/>
          <w:lang w:val="en-US" w:eastAsia="zh-CN"/>
        </w:rPr>
        <w:t>结合国家标准</w:t>
      </w:r>
      <w:r>
        <w:rPr>
          <w:rFonts w:hint="eastAsia"/>
          <w:lang w:val="en-US" w:eastAsia="zh-CN"/>
        </w:rPr>
        <w:t>和行业标准</w:t>
      </w:r>
      <w:r>
        <w:rPr>
          <w:rFonts w:hint="default"/>
          <w:lang w:val="en-US" w:eastAsia="zh-CN"/>
        </w:rPr>
        <w:t>，逐步建立在全国具影响力的茶叶质量标准检验检疫平台</w:t>
      </w:r>
      <w:r>
        <w:rPr>
          <w:rFonts w:hint="eastAsia"/>
          <w:lang w:val="en-US" w:eastAsia="zh-CN"/>
        </w:rPr>
        <w:t>，</w:t>
      </w:r>
      <w:r>
        <w:rPr>
          <w:rFonts w:hint="default"/>
          <w:lang w:val="en-US" w:eastAsia="zh-CN"/>
        </w:rPr>
        <w:t>将绿色防控技术、投入品管理与优质农产品开发、品牌打造相结合，通过开展多形式、多层次的技术培训，建立茶叶科学定级标准依据，提高标准化生产普及率。建立健全茶叶质量安全监管制度，鼓励茶企完善和建设产品条形码或二维码标识，</w:t>
      </w:r>
      <w:r>
        <w:rPr>
          <w:rFonts w:hint="eastAsia"/>
          <w:lang w:val="en-US" w:eastAsia="zh-CN"/>
        </w:rPr>
        <w:t>建立从茶园到茶杯全程茶叶质量安全可追溯体系</w:t>
      </w:r>
      <w:r>
        <w:rPr>
          <w:rFonts w:hint="default"/>
          <w:lang w:val="en-US" w:eastAsia="zh-CN"/>
        </w:rPr>
        <w:t>。强化农药和肥料等投</w:t>
      </w:r>
      <w:r>
        <w:rPr>
          <w:rFonts w:hint="eastAsia"/>
          <w:lang w:val="en-US" w:eastAsia="zh-CN"/>
        </w:rPr>
        <w:t>入</w:t>
      </w:r>
      <w:r>
        <w:rPr>
          <w:rFonts w:hint="default"/>
          <w:lang w:val="en-US" w:eastAsia="zh-CN"/>
        </w:rPr>
        <w:t>品管理，建立健全投</w:t>
      </w:r>
      <w:r>
        <w:rPr>
          <w:rFonts w:hint="eastAsia"/>
          <w:lang w:val="en-US" w:eastAsia="zh-CN"/>
        </w:rPr>
        <w:t>入</w:t>
      </w:r>
      <w:r>
        <w:rPr>
          <w:rFonts w:hint="default"/>
          <w:lang w:val="en-US" w:eastAsia="zh-CN"/>
        </w:rPr>
        <w:t>品使用登记制度。引导茶叶专业合作社</w:t>
      </w:r>
      <w:r>
        <w:rPr>
          <w:rFonts w:hint="eastAsia"/>
          <w:lang w:val="en-US" w:eastAsia="zh-CN"/>
        </w:rPr>
        <w:t>、</w:t>
      </w:r>
      <w:r>
        <w:rPr>
          <w:rFonts w:hint="default"/>
          <w:lang w:val="en-US" w:eastAsia="zh-CN"/>
        </w:rPr>
        <w:t>茶叶龙头企业生产基地建立植保专业队，实行统防统治。</w:t>
      </w:r>
    </w:p>
    <w:p>
      <w:pPr>
        <w:pStyle w:val="3"/>
        <w:rPr>
          <w:rFonts w:hint="eastAsia"/>
          <w:lang w:val="en-US" w:eastAsia="zh-CN"/>
        </w:rPr>
      </w:pPr>
      <w:r>
        <w:rPr>
          <w:rFonts w:hint="eastAsia"/>
          <w:lang w:val="en-US" w:eastAsia="zh-CN"/>
        </w:rPr>
        <w:t>（二）以市场需求为导向调整茶叶供给侧结构</w:t>
      </w:r>
    </w:p>
    <w:p>
      <w:pPr>
        <w:numPr>
          <w:ilvl w:val="0"/>
          <w:numId w:val="0"/>
        </w:numPr>
        <w:ind w:firstLine="560"/>
        <w:rPr>
          <w:rFonts w:hint="default"/>
          <w:lang w:val="en-US" w:eastAsia="zh-CN"/>
        </w:rPr>
      </w:pPr>
      <w:r>
        <w:rPr>
          <w:rFonts w:hint="eastAsia"/>
          <w:lang w:val="en-US" w:eastAsia="zh-CN"/>
        </w:rPr>
        <w:t>目前整个茶产业都面临着结构性供求失衡问题，广东英德红茶近几年面积快速扩张，产能逐渐释放，广东市场也将面临供求失衡问题。茶叶消费具有很强的地域特征，广东茶叶在省内市场趋于饱和，省外市场竞争激烈，出口利润薄且质量要求严格。建议以市场需求为导向，逐步引导茶叶产品生产供给的质量安全提升和品种品质改良。实施多元化产品战略，</w:t>
      </w:r>
      <w:r>
        <w:rPr>
          <w:rFonts w:hint="default"/>
          <w:lang w:val="en-US" w:eastAsia="zh-CN"/>
        </w:rPr>
        <w:t>以市场需求和消费者群体结构为依据进行产品结构调整。要尽快建立企业的消费者跟踪与分析系统数据库，积极进行茶叶市场调研，结合自身优势开发适合大众消费特征的茶叶产品，集中优势资源推出具有特色的明星产品和主导产品。</w:t>
      </w:r>
      <w:bookmarkStart w:id="0" w:name="_GoBack"/>
      <w:bookmarkEnd w:id="0"/>
    </w:p>
    <w:p>
      <w:pPr>
        <w:pStyle w:val="3"/>
        <w:rPr>
          <w:rFonts w:hint="eastAsia"/>
          <w:lang w:val="en-US" w:eastAsia="zh-CN"/>
        </w:rPr>
      </w:pPr>
      <w:r>
        <w:rPr>
          <w:rFonts w:hint="eastAsia"/>
          <w:lang w:val="en-US" w:eastAsia="zh-CN"/>
        </w:rPr>
        <w:t>（三）加大区域品牌宣传与企业品牌培育</w:t>
      </w:r>
    </w:p>
    <w:p>
      <w:pPr>
        <w:numPr>
          <w:ilvl w:val="0"/>
          <w:numId w:val="0"/>
        </w:numPr>
        <w:ind w:firstLine="560" w:firstLineChars="200"/>
        <w:rPr>
          <w:rFonts w:hint="eastAsia"/>
          <w:lang w:eastAsia="zh-CN"/>
        </w:rPr>
      </w:pPr>
      <w:r>
        <w:rPr>
          <w:rFonts w:hint="eastAsia"/>
          <w:lang w:eastAsia="zh-CN"/>
        </w:rPr>
        <w:t>我国茶产业存在规模大而不强、品牌多而不彰的问题，而同时各地方存在着区域品牌强、企业品牌弱的问题。</w:t>
      </w:r>
    </w:p>
    <w:p>
      <w:pPr>
        <w:pStyle w:val="3"/>
        <w:rPr>
          <w:rFonts w:hint="eastAsia"/>
          <w:lang w:eastAsia="zh-CN"/>
        </w:rPr>
      </w:pPr>
      <w:r>
        <w:rPr>
          <w:rFonts w:hint="eastAsia"/>
          <w:lang w:eastAsia="zh-CN"/>
        </w:rPr>
        <w:t>（四）加速推动茶叶营销流通模式创新</w:t>
      </w:r>
    </w:p>
    <w:p>
      <w:pPr>
        <w:rPr>
          <w:rFonts w:hint="eastAsia"/>
          <w:lang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FCD183"/>
    <w:multiLevelType w:val="singleLevel"/>
    <w:tmpl w:val="FCFCD183"/>
    <w:lvl w:ilvl="0" w:tentative="0">
      <w:start w:val="1"/>
      <w:numFmt w:val="chineseCounting"/>
      <w:suff w:val="nothing"/>
      <w:lvlText w:val="%1、"/>
      <w:lvlJc w:val="left"/>
      <w:rPr>
        <w:rFonts w:hint="eastAsia"/>
      </w:rPr>
    </w:lvl>
  </w:abstractNum>
  <w:abstractNum w:abstractNumId="1">
    <w:nsid w:val="4E084D30"/>
    <w:multiLevelType w:val="singleLevel"/>
    <w:tmpl w:val="4E084D30"/>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E8"/>
    <w:rsid w:val="000274F4"/>
    <w:rsid w:val="001624F6"/>
    <w:rsid w:val="001862FC"/>
    <w:rsid w:val="00212303"/>
    <w:rsid w:val="00452D4C"/>
    <w:rsid w:val="0064286F"/>
    <w:rsid w:val="00732203"/>
    <w:rsid w:val="00900D12"/>
    <w:rsid w:val="00A80037"/>
    <w:rsid w:val="00AA2630"/>
    <w:rsid w:val="00D4761B"/>
    <w:rsid w:val="00D77C67"/>
    <w:rsid w:val="00DA5964"/>
    <w:rsid w:val="00EB71E8"/>
    <w:rsid w:val="01234E85"/>
    <w:rsid w:val="01EF2DD2"/>
    <w:rsid w:val="02B50EB7"/>
    <w:rsid w:val="035E0944"/>
    <w:rsid w:val="03CC6D08"/>
    <w:rsid w:val="03DC1F37"/>
    <w:rsid w:val="03F95071"/>
    <w:rsid w:val="045258FC"/>
    <w:rsid w:val="054A3E42"/>
    <w:rsid w:val="05BF7743"/>
    <w:rsid w:val="06194A07"/>
    <w:rsid w:val="06937420"/>
    <w:rsid w:val="069433FE"/>
    <w:rsid w:val="06A72DFF"/>
    <w:rsid w:val="06AA4A72"/>
    <w:rsid w:val="06E51414"/>
    <w:rsid w:val="075D4677"/>
    <w:rsid w:val="076470DA"/>
    <w:rsid w:val="07F961E9"/>
    <w:rsid w:val="08290A46"/>
    <w:rsid w:val="099D1F4A"/>
    <w:rsid w:val="099F3875"/>
    <w:rsid w:val="09ED23D5"/>
    <w:rsid w:val="0A186328"/>
    <w:rsid w:val="0A5612F1"/>
    <w:rsid w:val="0B6F2E2B"/>
    <w:rsid w:val="0BC11D70"/>
    <w:rsid w:val="0BEC5089"/>
    <w:rsid w:val="0C0A6784"/>
    <w:rsid w:val="0C5932AE"/>
    <w:rsid w:val="0CB52FDC"/>
    <w:rsid w:val="0CD50AA0"/>
    <w:rsid w:val="0D8B1E75"/>
    <w:rsid w:val="0DAA7ACE"/>
    <w:rsid w:val="0E6F14DB"/>
    <w:rsid w:val="0F0F681A"/>
    <w:rsid w:val="0F627C81"/>
    <w:rsid w:val="106F72ED"/>
    <w:rsid w:val="10A33F16"/>
    <w:rsid w:val="10BD24BC"/>
    <w:rsid w:val="10C033EA"/>
    <w:rsid w:val="10C04F42"/>
    <w:rsid w:val="12226B03"/>
    <w:rsid w:val="12F87560"/>
    <w:rsid w:val="13385666"/>
    <w:rsid w:val="138231D1"/>
    <w:rsid w:val="13CF7C2E"/>
    <w:rsid w:val="14157D76"/>
    <w:rsid w:val="14EF1724"/>
    <w:rsid w:val="14F52D09"/>
    <w:rsid w:val="15193131"/>
    <w:rsid w:val="152F705F"/>
    <w:rsid w:val="15542A1D"/>
    <w:rsid w:val="15613619"/>
    <w:rsid w:val="158B7595"/>
    <w:rsid w:val="15A66C6A"/>
    <w:rsid w:val="15E95EB3"/>
    <w:rsid w:val="161B0482"/>
    <w:rsid w:val="163C162D"/>
    <w:rsid w:val="1655452C"/>
    <w:rsid w:val="167A149E"/>
    <w:rsid w:val="169136A7"/>
    <w:rsid w:val="1823783E"/>
    <w:rsid w:val="18335A24"/>
    <w:rsid w:val="18426EF3"/>
    <w:rsid w:val="18A31D75"/>
    <w:rsid w:val="18BE286D"/>
    <w:rsid w:val="18DB58BE"/>
    <w:rsid w:val="19BB0D1D"/>
    <w:rsid w:val="1A2E5D65"/>
    <w:rsid w:val="1B43598A"/>
    <w:rsid w:val="1B7C0DC5"/>
    <w:rsid w:val="1C435312"/>
    <w:rsid w:val="1CC32B1B"/>
    <w:rsid w:val="1D76069C"/>
    <w:rsid w:val="1DDF1F49"/>
    <w:rsid w:val="1E372014"/>
    <w:rsid w:val="1E6D0C9B"/>
    <w:rsid w:val="1EE561D1"/>
    <w:rsid w:val="1F7B7A9F"/>
    <w:rsid w:val="1FB16EA7"/>
    <w:rsid w:val="2017001B"/>
    <w:rsid w:val="20566735"/>
    <w:rsid w:val="20825481"/>
    <w:rsid w:val="209E3616"/>
    <w:rsid w:val="21FA6A8E"/>
    <w:rsid w:val="22350A5E"/>
    <w:rsid w:val="227539E5"/>
    <w:rsid w:val="22EE000F"/>
    <w:rsid w:val="230D557E"/>
    <w:rsid w:val="237727E2"/>
    <w:rsid w:val="23C806A9"/>
    <w:rsid w:val="24456077"/>
    <w:rsid w:val="246175C0"/>
    <w:rsid w:val="24727EE0"/>
    <w:rsid w:val="24D82CAE"/>
    <w:rsid w:val="25444A77"/>
    <w:rsid w:val="25BB328D"/>
    <w:rsid w:val="261D64CD"/>
    <w:rsid w:val="262129EF"/>
    <w:rsid w:val="26342456"/>
    <w:rsid w:val="26C45230"/>
    <w:rsid w:val="26DB5AE7"/>
    <w:rsid w:val="26E7553E"/>
    <w:rsid w:val="27376D8E"/>
    <w:rsid w:val="27656E34"/>
    <w:rsid w:val="279D6EDA"/>
    <w:rsid w:val="27A00413"/>
    <w:rsid w:val="27F849E9"/>
    <w:rsid w:val="29217328"/>
    <w:rsid w:val="29591440"/>
    <w:rsid w:val="29A42CED"/>
    <w:rsid w:val="2A294580"/>
    <w:rsid w:val="2A7D0702"/>
    <w:rsid w:val="2A810ABE"/>
    <w:rsid w:val="2ACB029F"/>
    <w:rsid w:val="2B507174"/>
    <w:rsid w:val="2B52226D"/>
    <w:rsid w:val="2BBD009B"/>
    <w:rsid w:val="2BF43EFA"/>
    <w:rsid w:val="2CC8072A"/>
    <w:rsid w:val="2CD76E21"/>
    <w:rsid w:val="2CEB69BF"/>
    <w:rsid w:val="2CFE4067"/>
    <w:rsid w:val="2D32562F"/>
    <w:rsid w:val="2D410F54"/>
    <w:rsid w:val="2DF163FC"/>
    <w:rsid w:val="2E481218"/>
    <w:rsid w:val="2E5B49B8"/>
    <w:rsid w:val="2EE77450"/>
    <w:rsid w:val="2F3766C7"/>
    <w:rsid w:val="2F894D68"/>
    <w:rsid w:val="300923EE"/>
    <w:rsid w:val="30262581"/>
    <w:rsid w:val="309E6088"/>
    <w:rsid w:val="30D43B7D"/>
    <w:rsid w:val="31F66252"/>
    <w:rsid w:val="331565E3"/>
    <w:rsid w:val="33B24F45"/>
    <w:rsid w:val="33C258FD"/>
    <w:rsid w:val="34066A7D"/>
    <w:rsid w:val="34304CD5"/>
    <w:rsid w:val="3459025E"/>
    <w:rsid w:val="35287138"/>
    <w:rsid w:val="35590FFC"/>
    <w:rsid w:val="35962E90"/>
    <w:rsid w:val="36997FB7"/>
    <w:rsid w:val="3763785A"/>
    <w:rsid w:val="37E30A4B"/>
    <w:rsid w:val="38453012"/>
    <w:rsid w:val="387B6A13"/>
    <w:rsid w:val="390E4A80"/>
    <w:rsid w:val="39380EF5"/>
    <w:rsid w:val="39E665C6"/>
    <w:rsid w:val="3A2D2520"/>
    <w:rsid w:val="3A31042F"/>
    <w:rsid w:val="3A3E2847"/>
    <w:rsid w:val="3A4E1135"/>
    <w:rsid w:val="3A54682F"/>
    <w:rsid w:val="3B253BA1"/>
    <w:rsid w:val="3B4D5F54"/>
    <w:rsid w:val="3C9A19BA"/>
    <w:rsid w:val="3CBB297D"/>
    <w:rsid w:val="3CC90F2F"/>
    <w:rsid w:val="3CD21541"/>
    <w:rsid w:val="3CD37399"/>
    <w:rsid w:val="3DC74D0A"/>
    <w:rsid w:val="3E983C1B"/>
    <w:rsid w:val="3EE651F6"/>
    <w:rsid w:val="3F313E41"/>
    <w:rsid w:val="3FC65D04"/>
    <w:rsid w:val="40062639"/>
    <w:rsid w:val="40365D7A"/>
    <w:rsid w:val="4064741D"/>
    <w:rsid w:val="40AE50A3"/>
    <w:rsid w:val="40AE7DB3"/>
    <w:rsid w:val="411F216B"/>
    <w:rsid w:val="417E2B60"/>
    <w:rsid w:val="41DA2B9E"/>
    <w:rsid w:val="42011529"/>
    <w:rsid w:val="4295556A"/>
    <w:rsid w:val="42F26E55"/>
    <w:rsid w:val="430F78C9"/>
    <w:rsid w:val="437F0C30"/>
    <w:rsid w:val="43C557DA"/>
    <w:rsid w:val="449709CE"/>
    <w:rsid w:val="44EA5A5D"/>
    <w:rsid w:val="45245928"/>
    <w:rsid w:val="458F7556"/>
    <w:rsid w:val="45CE10F1"/>
    <w:rsid w:val="46426182"/>
    <w:rsid w:val="46BD507B"/>
    <w:rsid w:val="47037FBA"/>
    <w:rsid w:val="487F3A7E"/>
    <w:rsid w:val="488F2107"/>
    <w:rsid w:val="48A01300"/>
    <w:rsid w:val="48E82889"/>
    <w:rsid w:val="4943235B"/>
    <w:rsid w:val="499D73CD"/>
    <w:rsid w:val="49F24120"/>
    <w:rsid w:val="4A73587D"/>
    <w:rsid w:val="4AE93D6B"/>
    <w:rsid w:val="4AF84DDD"/>
    <w:rsid w:val="4B5739E2"/>
    <w:rsid w:val="4B666237"/>
    <w:rsid w:val="4B8B2901"/>
    <w:rsid w:val="4CA13594"/>
    <w:rsid w:val="4D7E512A"/>
    <w:rsid w:val="4E1F3ECF"/>
    <w:rsid w:val="4F282E50"/>
    <w:rsid w:val="4F326813"/>
    <w:rsid w:val="4F381D62"/>
    <w:rsid w:val="4F4008D2"/>
    <w:rsid w:val="4F4515F2"/>
    <w:rsid w:val="4F597F17"/>
    <w:rsid w:val="50297616"/>
    <w:rsid w:val="502B6EFE"/>
    <w:rsid w:val="504D266C"/>
    <w:rsid w:val="50805D58"/>
    <w:rsid w:val="50AA2C8B"/>
    <w:rsid w:val="50AA5A51"/>
    <w:rsid w:val="5353452F"/>
    <w:rsid w:val="53610AC6"/>
    <w:rsid w:val="53ED3E9A"/>
    <w:rsid w:val="53FA1771"/>
    <w:rsid w:val="54AE29A1"/>
    <w:rsid w:val="54B86F17"/>
    <w:rsid w:val="54C649A0"/>
    <w:rsid w:val="559B0F00"/>
    <w:rsid w:val="55C01FAA"/>
    <w:rsid w:val="55D176A8"/>
    <w:rsid w:val="55F06DD9"/>
    <w:rsid w:val="56BE3141"/>
    <w:rsid w:val="56E73CC7"/>
    <w:rsid w:val="59271DC4"/>
    <w:rsid w:val="59A414DC"/>
    <w:rsid w:val="59D9250E"/>
    <w:rsid w:val="5A2E6B34"/>
    <w:rsid w:val="5A5149C7"/>
    <w:rsid w:val="5A8438F0"/>
    <w:rsid w:val="5AED48DD"/>
    <w:rsid w:val="5B22507B"/>
    <w:rsid w:val="5B9A5251"/>
    <w:rsid w:val="5C2612CD"/>
    <w:rsid w:val="5C6257BE"/>
    <w:rsid w:val="5CAF29A0"/>
    <w:rsid w:val="5CE07586"/>
    <w:rsid w:val="5D5B1E78"/>
    <w:rsid w:val="5D6531AF"/>
    <w:rsid w:val="5E160504"/>
    <w:rsid w:val="5F2A73B5"/>
    <w:rsid w:val="5FC60669"/>
    <w:rsid w:val="5FF820CB"/>
    <w:rsid w:val="606F709F"/>
    <w:rsid w:val="60BD4EC3"/>
    <w:rsid w:val="613470BB"/>
    <w:rsid w:val="618B733B"/>
    <w:rsid w:val="61E42523"/>
    <w:rsid w:val="62687C59"/>
    <w:rsid w:val="6326036D"/>
    <w:rsid w:val="633C2A95"/>
    <w:rsid w:val="6404198A"/>
    <w:rsid w:val="64481322"/>
    <w:rsid w:val="649C1C16"/>
    <w:rsid w:val="65735F37"/>
    <w:rsid w:val="65DD7656"/>
    <w:rsid w:val="668E71EE"/>
    <w:rsid w:val="66BD1878"/>
    <w:rsid w:val="67493BBF"/>
    <w:rsid w:val="679F0AE7"/>
    <w:rsid w:val="67E02EB3"/>
    <w:rsid w:val="68377062"/>
    <w:rsid w:val="68444417"/>
    <w:rsid w:val="68510AE7"/>
    <w:rsid w:val="68A734EE"/>
    <w:rsid w:val="68BA66D0"/>
    <w:rsid w:val="69212C32"/>
    <w:rsid w:val="693179D6"/>
    <w:rsid w:val="69E02954"/>
    <w:rsid w:val="6AD01F90"/>
    <w:rsid w:val="6B757C4E"/>
    <w:rsid w:val="6BF766E4"/>
    <w:rsid w:val="6C207691"/>
    <w:rsid w:val="6C296EB3"/>
    <w:rsid w:val="6C79329D"/>
    <w:rsid w:val="6CAA7EAB"/>
    <w:rsid w:val="6D35776B"/>
    <w:rsid w:val="6EE83FB8"/>
    <w:rsid w:val="6F05542B"/>
    <w:rsid w:val="6F216F15"/>
    <w:rsid w:val="70291502"/>
    <w:rsid w:val="70623187"/>
    <w:rsid w:val="715A6986"/>
    <w:rsid w:val="7181598F"/>
    <w:rsid w:val="72B11CC1"/>
    <w:rsid w:val="72C3531C"/>
    <w:rsid w:val="72F020EF"/>
    <w:rsid w:val="72F3427A"/>
    <w:rsid w:val="741C26DB"/>
    <w:rsid w:val="74AE7F62"/>
    <w:rsid w:val="75121DD2"/>
    <w:rsid w:val="753A1474"/>
    <w:rsid w:val="757C70C2"/>
    <w:rsid w:val="758830E7"/>
    <w:rsid w:val="75CC78A2"/>
    <w:rsid w:val="764F59C7"/>
    <w:rsid w:val="76542FCC"/>
    <w:rsid w:val="768402E0"/>
    <w:rsid w:val="768C148B"/>
    <w:rsid w:val="769E2F40"/>
    <w:rsid w:val="7731139A"/>
    <w:rsid w:val="777545D3"/>
    <w:rsid w:val="778340AA"/>
    <w:rsid w:val="788466A2"/>
    <w:rsid w:val="78855DA1"/>
    <w:rsid w:val="78DB4C6F"/>
    <w:rsid w:val="793D33E4"/>
    <w:rsid w:val="79C72EF1"/>
    <w:rsid w:val="7A3F4690"/>
    <w:rsid w:val="7ABC3399"/>
    <w:rsid w:val="7B1B1C84"/>
    <w:rsid w:val="7B720571"/>
    <w:rsid w:val="7C040166"/>
    <w:rsid w:val="7C6166FC"/>
    <w:rsid w:val="7CCE5A9F"/>
    <w:rsid w:val="7D3420C6"/>
    <w:rsid w:val="7D736017"/>
    <w:rsid w:val="7DDA6804"/>
    <w:rsid w:val="7DF033D3"/>
    <w:rsid w:val="7E86517B"/>
    <w:rsid w:val="7EAF2A10"/>
    <w:rsid w:val="7ED316D9"/>
    <w:rsid w:val="7F6D0D54"/>
    <w:rsid w:val="7F9859A4"/>
    <w:rsid w:val="7FC91C8C"/>
    <w:rsid w:val="7FD6225D"/>
    <w:rsid w:val="7FF7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仿宋"/>
      <w:kern w:val="2"/>
      <w:sz w:val="28"/>
      <w:szCs w:val="32"/>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customStyle="1" w:styleId="6">
    <w:name w:val="font01"/>
    <w:basedOn w:val="4"/>
    <w:qFormat/>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10.xml"/><Relationship Id="rId12" Type="http://schemas.openxmlformats.org/officeDocument/2006/relationships/chart" Target="charts/chart9.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E:\&#26460;&#20329;&#21517;&#25512;&#20013;&#24515;\&#25968;&#25454;&#21021;&#27493;&#32479;&#35745;.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E:\&#26460;&#20329;&#21517;&#25512;&#20013;&#24515;\&#25968;&#25454;&#21021;&#27493;&#32479;&#35745;.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E:\&#26460;&#20329;&#21517;&#25512;&#20013;&#24515;\&#25968;&#25454;&#21021;&#27493;&#32479;&#35745;.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E:\&#26460;&#20329;&#21517;&#25512;&#20013;&#24515;\&#25968;&#25454;&#21021;&#27493;&#32479;&#35745;.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26460;&#20329;&#21517;&#25512;&#20013;&#24515;\&#25968;&#25454;&#21021;&#27493;&#32479;&#35745;.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6460;&#20329;&#21517;&#25512;&#20013;&#24515;\&#25968;&#25454;&#21021;&#27493;&#32479;&#35745;.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26460;&#20329;&#21517;&#25512;&#20013;&#24515;\&#25968;&#25454;&#21021;&#27493;&#32479;&#35745;.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26460;&#20329;&#21517;&#25512;&#20013;&#24515;\&#25968;&#25454;&#21021;&#27493;&#32479;&#35745;.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26460;&#20329;&#21517;&#25512;&#20013;&#24515;\&#25968;&#25454;&#21021;&#27493;&#32479;&#35745;.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E:\&#26460;&#20329;&#21517;&#25512;&#20013;&#24515;\&#25968;&#25454;&#21021;&#27493;&#32479;&#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广东省历年茶园面积与茶叶产量</a:t>
            </a:r>
            <a:endParaRPr altLang="en-US"/>
          </a:p>
        </c:rich>
      </c:tx>
      <c:layout/>
      <c:overlay val="0"/>
      <c:spPr>
        <a:noFill/>
        <a:ln>
          <a:noFill/>
        </a:ln>
        <a:effectLst/>
      </c:spPr>
    </c:title>
    <c:autoTitleDeleted val="0"/>
    <c:plotArea>
      <c:layout/>
      <c:barChart>
        <c:barDir val="col"/>
        <c:grouping val="clustered"/>
        <c:varyColors val="0"/>
        <c:ser>
          <c:idx val="0"/>
          <c:order val="0"/>
          <c:tx>
            <c:strRef>
              <c:f>[数据初步统计.xlsx]宏观数据!$J$2</c:f>
              <c:strCache>
                <c:ptCount val="1"/>
                <c:pt idx="0">
                  <c:v>面积（万亩）</c:v>
                </c:pt>
              </c:strCache>
            </c:strRef>
          </c:tx>
          <c:spPr>
            <a:solidFill>
              <a:schemeClr val="accent1"/>
            </a:solidFill>
            <a:ln>
              <a:noFill/>
            </a:ln>
            <a:effectLst/>
          </c:spPr>
          <c:invertIfNegative val="0"/>
          <c:dLbls>
            <c:delete val="1"/>
          </c:dLbls>
          <c:cat>
            <c:numRef>
              <c:f>[数据初步统计.xlsx]宏观数据!$I$3:$I$21</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[数据初步统计.xlsx]宏观数据!$J$3:$J$21</c:f>
              <c:numCache>
                <c:formatCode>General</c:formatCode>
                <c:ptCount val="19"/>
                <c:pt idx="0">
                  <c:v>64.8</c:v>
                </c:pt>
                <c:pt idx="1">
                  <c:v>64.59</c:v>
                </c:pt>
                <c:pt idx="2">
                  <c:v>60.795</c:v>
                </c:pt>
                <c:pt idx="3">
                  <c:v>58.005</c:v>
                </c:pt>
                <c:pt idx="4">
                  <c:v>58.44</c:v>
                </c:pt>
                <c:pt idx="5">
                  <c:v>54.045</c:v>
                </c:pt>
                <c:pt idx="6">
                  <c:v>60.24</c:v>
                </c:pt>
                <c:pt idx="7">
                  <c:v>55.875</c:v>
                </c:pt>
                <c:pt idx="8">
                  <c:v>55.215</c:v>
                </c:pt>
                <c:pt idx="9">
                  <c:v>56.37</c:v>
                </c:pt>
                <c:pt idx="10">
                  <c:v>61.23</c:v>
                </c:pt>
                <c:pt idx="11">
                  <c:v>61.695</c:v>
                </c:pt>
                <c:pt idx="12">
                  <c:v>62.76</c:v>
                </c:pt>
                <c:pt idx="13">
                  <c:v>66.3</c:v>
                </c:pt>
                <c:pt idx="14">
                  <c:v>72.3</c:v>
                </c:pt>
                <c:pt idx="15">
                  <c:v>74.1</c:v>
                </c:pt>
                <c:pt idx="16">
                  <c:v>79.65</c:v>
                </c:pt>
                <c:pt idx="17">
                  <c:v>87.6</c:v>
                </c:pt>
                <c:pt idx="18">
                  <c:v>93</c:v>
                </c:pt>
              </c:numCache>
            </c:numRef>
          </c:val>
        </c:ser>
        <c:dLbls>
          <c:showLegendKey val="0"/>
          <c:showVal val="0"/>
          <c:showCatName val="0"/>
          <c:showSerName val="0"/>
          <c:showPercent val="0"/>
          <c:showBubbleSize val="0"/>
        </c:dLbls>
        <c:gapWidth val="219"/>
        <c:overlap val="-27"/>
        <c:axId val="544551628"/>
        <c:axId val="926331885"/>
      </c:barChart>
      <c:lineChart>
        <c:grouping val="standard"/>
        <c:varyColors val="0"/>
        <c:ser>
          <c:idx val="1"/>
          <c:order val="1"/>
          <c:tx>
            <c:strRef>
              <c:f>[数据初步统计.xlsx]宏观数据!$K$2</c:f>
              <c:strCache>
                <c:ptCount val="1"/>
                <c:pt idx="0">
                  <c:v>产量（万吨）</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[数据初步统计.xlsx]宏观数据!$I$3:$I$21</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[数据初步统计.xlsx]宏观数据!$K$3:$K$21</c:f>
              <c:numCache>
                <c:formatCode>General</c:formatCode>
                <c:ptCount val="19"/>
                <c:pt idx="0">
                  <c:v>4.21</c:v>
                </c:pt>
                <c:pt idx="1">
                  <c:v>4.15</c:v>
                </c:pt>
                <c:pt idx="2">
                  <c:v>4.24</c:v>
                </c:pt>
                <c:pt idx="3">
                  <c:v>4.14</c:v>
                </c:pt>
                <c:pt idx="4">
                  <c:v>4.04</c:v>
                </c:pt>
                <c:pt idx="5">
                  <c:v>4.45</c:v>
                </c:pt>
                <c:pt idx="6">
                  <c:v>4.74</c:v>
                </c:pt>
                <c:pt idx="7">
                  <c:v>4.89</c:v>
                </c:pt>
                <c:pt idx="8">
                  <c:v>4.84</c:v>
                </c:pt>
                <c:pt idx="9">
                  <c:v>5.14</c:v>
                </c:pt>
                <c:pt idx="10">
                  <c:v>5.33</c:v>
                </c:pt>
                <c:pt idx="11">
                  <c:v>5.96</c:v>
                </c:pt>
                <c:pt idx="12">
                  <c:v>6.31</c:v>
                </c:pt>
                <c:pt idx="13">
                  <c:v>6.98</c:v>
                </c:pt>
                <c:pt idx="14">
                  <c:v>7.39</c:v>
                </c:pt>
                <c:pt idx="15">
                  <c:v>7.93</c:v>
                </c:pt>
                <c:pt idx="16">
                  <c:v>8.68</c:v>
                </c:pt>
                <c:pt idx="17">
                  <c:v>9.29</c:v>
                </c:pt>
                <c:pt idx="18">
                  <c:v>9.65</c:v>
                </c:pt>
              </c:numCache>
            </c:numRef>
          </c:val>
          <c:smooth val="0"/>
        </c:ser>
        <c:dLbls>
          <c:showLegendKey val="0"/>
          <c:showVal val="0"/>
          <c:showCatName val="0"/>
          <c:showSerName val="0"/>
          <c:showPercent val="0"/>
          <c:showBubbleSize val="0"/>
        </c:dLbls>
        <c:marker val="1"/>
        <c:smooth val="0"/>
        <c:axId val="602739578"/>
        <c:axId val="520583637"/>
      </c:lineChart>
      <c:catAx>
        <c:axId val="5445516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6331885"/>
        <c:crosses val="autoZero"/>
        <c:auto val="1"/>
        <c:lblAlgn val="ctr"/>
        <c:lblOffset val="100"/>
        <c:noMultiLvlLbl val="0"/>
      </c:catAx>
      <c:valAx>
        <c:axId val="92633188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4551628"/>
        <c:crosses val="autoZero"/>
        <c:crossBetween val="between"/>
      </c:valAx>
      <c:catAx>
        <c:axId val="602739578"/>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0583637"/>
        <c:crosses val="autoZero"/>
        <c:auto val="1"/>
        <c:lblAlgn val="ctr"/>
        <c:lblOffset val="100"/>
        <c:noMultiLvlLbl val="0"/>
      </c:catAx>
      <c:valAx>
        <c:axId val="520583637"/>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2739578"/>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各茶类销售利润率</a:t>
            </a:r>
          </a:p>
        </c:rich>
      </c:tx>
      <c:layout/>
      <c:overlay val="0"/>
      <c:spPr>
        <a:noFill/>
        <a:ln>
          <a:noFill/>
        </a:ln>
        <a:effectLst/>
      </c:spPr>
    </c:title>
    <c:autoTitleDeleted val="0"/>
    <c:plotArea>
      <c:layout/>
      <c:barChart>
        <c:barDir val="col"/>
        <c:grouping val="clustered"/>
        <c:varyColors val="0"/>
        <c:ser>
          <c:idx val="0"/>
          <c:order val="0"/>
          <c:tx>
            <c:strRef>
              <c:f>"2017年"</c:f>
              <c:strCache>
                <c:ptCount val="1"/>
                <c:pt idx="0">
                  <c:v>2017年</c:v>
                </c:pt>
              </c:strCache>
            </c:strRef>
          </c:tx>
          <c:spPr>
            <a:solidFill>
              <a:schemeClr val="accent1"/>
            </a:solidFill>
            <a:ln>
              <a:noFill/>
            </a:ln>
            <a:effectLst/>
          </c:spPr>
          <c:invertIfNegative val="0"/>
          <c:dLbls>
            <c:dLbl>
              <c:idx val="0"/>
              <c:layout>
                <c:manualLayout>
                  <c:x val="0"/>
                  <c:y val="0.04353893385431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552273311071153"/>
                  <c:y val="0.031537817471392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179809915232469"/>
                  <c:y val="0.027630477253698"/>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359619830464937"/>
                  <c:y val="0.031537817471392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719239660929874"/>
                  <c:y val="0.023723137036003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[数据初步统计.xlsx]样本数据!$F$3:$F$8</c:f>
              <c:strCache>
                <c:ptCount val="6"/>
                <c:pt idx="0">
                  <c:v>绿茶</c:v>
                </c:pt>
                <c:pt idx="1">
                  <c:v>红茶</c:v>
                </c:pt>
                <c:pt idx="2">
                  <c:v>乌龙茶</c:v>
                </c:pt>
                <c:pt idx="3">
                  <c:v>白茶</c:v>
                </c:pt>
                <c:pt idx="4">
                  <c:v>柑普茶</c:v>
                </c:pt>
                <c:pt idx="5">
                  <c:v>植物饮品茶</c:v>
                </c:pt>
              </c:strCache>
            </c:strRef>
          </c:cat>
          <c:val>
            <c:numRef>
              <c:f>[数据初步统计.xlsx]样本数据!$S$3:$S$8</c:f>
              <c:numCache>
                <c:formatCode>0.00%</c:formatCode>
                <c:ptCount val="6"/>
                <c:pt idx="0">
                  <c:v>0.0319500856370037</c:v>
                </c:pt>
                <c:pt idx="1">
                  <c:v>0.143047540203586</c:v>
                </c:pt>
                <c:pt idx="2">
                  <c:v>0.12262933079024</c:v>
                </c:pt>
                <c:pt idx="3">
                  <c:v>0.0863055289229786</c:v>
                </c:pt>
                <c:pt idx="4">
                  <c:v>0.0582941408774323</c:v>
                </c:pt>
                <c:pt idx="5">
                  <c:v>0.108050068618281</c:v>
                </c:pt>
              </c:numCache>
            </c:numRef>
          </c:val>
        </c:ser>
        <c:ser>
          <c:idx val="1"/>
          <c:order val="1"/>
          <c:tx>
            <c:strRef>
              <c:f>"2018年"</c:f>
              <c:strCache>
                <c:ptCount val="1"/>
                <c:pt idx="0">
                  <c:v>2018年</c:v>
                </c:pt>
              </c:strCache>
            </c:strRef>
          </c:tx>
          <c:spPr>
            <a:solidFill>
              <a:schemeClr val="accent2"/>
            </a:solidFill>
            <a:ln>
              <a:noFill/>
            </a:ln>
            <a:effectLst/>
          </c:spPr>
          <c:invertIfNegative val="0"/>
          <c:dLbls>
            <c:dLbl>
              <c:idx val="2"/>
              <c:layout>
                <c:manualLayout>
                  <c:x val="0"/>
                  <c:y val="0.031537817471392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[数据初步统计.xlsx]样本数据!$F$3:$F$8</c:f>
              <c:strCache>
                <c:ptCount val="6"/>
                <c:pt idx="0">
                  <c:v>绿茶</c:v>
                </c:pt>
                <c:pt idx="1">
                  <c:v>红茶</c:v>
                </c:pt>
                <c:pt idx="2">
                  <c:v>乌龙茶</c:v>
                </c:pt>
                <c:pt idx="3">
                  <c:v>白茶</c:v>
                </c:pt>
                <c:pt idx="4">
                  <c:v>柑普茶</c:v>
                </c:pt>
                <c:pt idx="5">
                  <c:v>植物饮品茶</c:v>
                </c:pt>
              </c:strCache>
            </c:strRef>
          </c:cat>
          <c:val>
            <c:numRef>
              <c:f>[数据初步统计.xlsx]样本数据!$T$3:$T$8</c:f>
              <c:numCache>
                <c:formatCode>0.00%</c:formatCode>
                <c:ptCount val="6"/>
                <c:pt idx="0">
                  <c:v>0.0329420754572154</c:v>
                </c:pt>
                <c:pt idx="1">
                  <c:v>0.148226633065397</c:v>
                </c:pt>
                <c:pt idx="2">
                  <c:v>0.119760802109031</c:v>
                </c:pt>
                <c:pt idx="3">
                  <c:v>0.101282051282051</c:v>
                </c:pt>
                <c:pt idx="4">
                  <c:v>0.0588858265502085</c:v>
                </c:pt>
                <c:pt idx="5">
                  <c:v>0.11294317023703</c:v>
                </c:pt>
              </c:numCache>
            </c:numRef>
          </c:val>
        </c:ser>
        <c:dLbls>
          <c:showLegendKey val="0"/>
          <c:showVal val="1"/>
          <c:showCatName val="0"/>
          <c:showSerName val="0"/>
          <c:showPercent val="0"/>
          <c:showBubbleSize val="0"/>
        </c:dLbls>
        <c:gapWidth val="219"/>
        <c:overlap val="-27"/>
        <c:axId val="329066169"/>
        <c:axId val="39041663"/>
      </c:barChart>
      <c:catAx>
        <c:axId val="32906616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041663"/>
        <c:crosses val="autoZero"/>
        <c:auto val="1"/>
        <c:lblAlgn val="ctr"/>
        <c:lblOffset val="100"/>
        <c:noMultiLvlLbl val="0"/>
      </c:catAx>
      <c:valAx>
        <c:axId val="390416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906616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2018</a:t>
            </a:r>
            <a:r>
              <a:rPr altLang="en-US"/>
              <a:t>年全国各茶类出口情况</a:t>
            </a:r>
            <a:endParaRPr altLang="en-US"/>
          </a:p>
        </c:rich>
      </c:tx>
      <c:layout/>
      <c:overlay val="0"/>
      <c:spPr>
        <a:noFill/>
        <a:ln>
          <a:noFill/>
        </a:ln>
        <a:effectLst/>
      </c:spPr>
    </c:title>
    <c:autoTitleDeleted val="0"/>
    <c:plotArea>
      <c:layout/>
      <c:barChart>
        <c:barDir val="col"/>
        <c:grouping val="clustered"/>
        <c:varyColors val="0"/>
        <c:ser>
          <c:idx val="0"/>
          <c:order val="0"/>
          <c:tx>
            <c:strRef>
              <c:f>"出口量（万吨）"</c:f>
              <c:strCache>
                <c:ptCount val="1"/>
                <c:pt idx="0">
                  <c:v>出口量（万吨）</c:v>
                </c:pt>
              </c:strCache>
            </c:strRef>
          </c:tx>
          <c:spPr>
            <a:solidFill>
              <a:schemeClr val="accent1"/>
            </a:solidFill>
            <a:ln>
              <a:noFill/>
            </a:ln>
            <a:effectLst/>
          </c:spPr>
          <c:invertIfNegative val="0"/>
          <c:dLbls>
            <c:delete val="1"/>
          </c:dLbls>
          <c:cat>
            <c:strRef>
              <c:f>[数据初步统计.xlsx]宏观数据!$L$26:$L$30</c:f>
              <c:strCache>
                <c:ptCount val="5"/>
                <c:pt idx="0">
                  <c:v>绿茶</c:v>
                </c:pt>
                <c:pt idx="1">
                  <c:v>红茶</c:v>
                </c:pt>
                <c:pt idx="2">
                  <c:v>乌龙茶</c:v>
                </c:pt>
                <c:pt idx="3">
                  <c:v>花茶</c:v>
                </c:pt>
                <c:pt idx="4">
                  <c:v>普洱茶</c:v>
                </c:pt>
              </c:strCache>
            </c:strRef>
          </c:cat>
          <c:val>
            <c:numRef>
              <c:f>[数据初步统计.xlsx]宏观数据!$M$26:$M$30</c:f>
              <c:numCache>
                <c:formatCode>General</c:formatCode>
                <c:ptCount val="5"/>
                <c:pt idx="0">
                  <c:v>30.29</c:v>
                </c:pt>
                <c:pt idx="1">
                  <c:v>3.3</c:v>
                </c:pt>
                <c:pt idx="2">
                  <c:v>1.9</c:v>
                </c:pt>
                <c:pt idx="3">
                  <c:v>0.69</c:v>
                </c:pt>
                <c:pt idx="4">
                  <c:v>0.3</c:v>
                </c:pt>
              </c:numCache>
            </c:numRef>
          </c:val>
        </c:ser>
        <c:dLbls>
          <c:showLegendKey val="0"/>
          <c:showVal val="0"/>
          <c:showCatName val="0"/>
          <c:showSerName val="0"/>
          <c:showPercent val="0"/>
          <c:showBubbleSize val="0"/>
        </c:dLbls>
        <c:gapWidth val="219"/>
        <c:overlap val="-27"/>
        <c:axId val="507931940"/>
        <c:axId val="631266357"/>
      </c:barChart>
      <c:lineChart>
        <c:grouping val="standard"/>
        <c:varyColors val="0"/>
        <c:ser>
          <c:idx val="1"/>
          <c:order val="1"/>
          <c:tx>
            <c:strRef>
              <c:f>"出口均价（美元/千克）"</c:f>
              <c:strCache>
                <c:ptCount val="1"/>
                <c:pt idx="0">
                  <c:v>出口均价（美元/千克）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[数据初步统计.xlsx]宏观数据!$L$26:$L$30</c:f>
              <c:strCache>
                <c:ptCount val="5"/>
                <c:pt idx="0">
                  <c:v>绿茶</c:v>
                </c:pt>
                <c:pt idx="1">
                  <c:v>红茶</c:v>
                </c:pt>
                <c:pt idx="2">
                  <c:v>乌龙茶</c:v>
                </c:pt>
                <c:pt idx="3">
                  <c:v>花茶</c:v>
                </c:pt>
                <c:pt idx="4">
                  <c:v>普洱茶</c:v>
                </c:pt>
              </c:strCache>
            </c:strRef>
          </c:cat>
          <c:val>
            <c:numRef>
              <c:f>[数据初步统计.xlsx]宏观数据!$O$26:$O$30</c:f>
              <c:numCache>
                <c:formatCode>0.00_ </c:formatCode>
                <c:ptCount val="5"/>
                <c:pt idx="0">
                  <c:v>4.03763618355893</c:v>
                </c:pt>
                <c:pt idx="1">
                  <c:v>8.51515151515152</c:v>
                </c:pt>
                <c:pt idx="2">
                  <c:v>9.47368421052632</c:v>
                </c:pt>
                <c:pt idx="3">
                  <c:v>9.56521739130435</c:v>
                </c:pt>
                <c:pt idx="4">
                  <c:v>9.33333333333333</c:v>
                </c:pt>
              </c:numCache>
            </c:numRef>
          </c:val>
          <c:smooth val="0"/>
        </c:ser>
        <c:dLbls>
          <c:showLegendKey val="0"/>
          <c:showVal val="1"/>
          <c:showCatName val="0"/>
          <c:showSerName val="0"/>
          <c:showPercent val="0"/>
          <c:showBubbleSize val="0"/>
        </c:dLbls>
        <c:marker val="1"/>
        <c:smooth val="0"/>
        <c:axId val="829529238"/>
        <c:axId val="959622242"/>
      </c:lineChart>
      <c:catAx>
        <c:axId val="5079319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1266357"/>
        <c:crosses val="autoZero"/>
        <c:auto val="1"/>
        <c:lblAlgn val="ctr"/>
        <c:lblOffset val="100"/>
        <c:noMultiLvlLbl val="0"/>
      </c:catAx>
      <c:valAx>
        <c:axId val="6312663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7931940"/>
        <c:crosses val="autoZero"/>
        <c:crossBetween val="between"/>
      </c:valAx>
      <c:catAx>
        <c:axId val="829529238"/>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9622242"/>
        <c:crosses val="autoZero"/>
        <c:auto val="1"/>
        <c:lblAlgn val="ctr"/>
        <c:lblOffset val="100"/>
        <c:noMultiLvlLbl val="0"/>
      </c:catAx>
      <c:valAx>
        <c:axId val="959622242"/>
        <c:scaling>
          <c:orientation val="minMax"/>
        </c:scaling>
        <c:delete val="0"/>
        <c:axPos val="r"/>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9529238"/>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2018</a:t>
            </a:r>
            <a:r>
              <a:rPr altLang="en-US"/>
              <a:t>年</a:t>
            </a:r>
            <a:r>
              <a:t>区域品牌生产规模</a:t>
            </a:r>
          </a:p>
        </c:rich>
      </c:tx>
      <c:layout/>
      <c:overlay val="0"/>
      <c:spPr>
        <a:noFill/>
        <a:ln>
          <a:noFill/>
        </a:ln>
        <a:effectLst/>
      </c:spPr>
    </c:title>
    <c:autoTitleDeleted val="0"/>
    <c:plotArea>
      <c:layout/>
      <c:barChart>
        <c:barDir val="col"/>
        <c:grouping val="clustered"/>
        <c:varyColors val="0"/>
        <c:ser>
          <c:idx val="0"/>
          <c:order val="0"/>
          <c:tx>
            <c:strRef>
              <c:f>"面积（万亩）"</c:f>
              <c:strCache>
                <c:ptCount val="1"/>
                <c:pt idx="0">
                  <c:v>面积（万亩）</c:v>
                </c:pt>
              </c:strCache>
            </c:strRef>
          </c:tx>
          <c:spPr>
            <a:solidFill>
              <a:schemeClr val="accent1"/>
            </a:solidFill>
            <a:ln>
              <a:noFill/>
            </a:ln>
            <a:effectLst/>
          </c:spPr>
          <c:invertIfNegative val="0"/>
          <c:dLbls>
            <c:delete val="1"/>
          </c:dLbls>
          <c:cat>
            <c:strRef>
              <c:f>[数据初步统计.xlsx]区域品牌!$A$31:$A$40</c:f>
              <c:strCache>
                <c:ptCount val="10"/>
                <c:pt idx="0">
                  <c:v>英德红茶</c:v>
                </c:pt>
                <c:pt idx="1">
                  <c:v>新会柑茶</c:v>
                </c:pt>
                <c:pt idx="2">
                  <c:v>紫金绿茶</c:v>
                </c:pt>
                <c:pt idx="3">
                  <c:v>罗坑茶</c:v>
                </c:pt>
                <c:pt idx="4">
                  <c:v>沿溪山白毛尖</c:v>
                </c:pt>
                <c:pt idx="5">
                  <c:v>马图绿茶</c:v>
                </c:pt>
                <c:pt idx="6">
                  <c:v>东源仙湖茶</c:v>
                </c:pt>
                <c:pt idx="7">
                  <c:v>象窝茶</c:v>
                </c:pt>
                <c:pt idx="8">
                  <c:v>开平大沙茶</c:v>
                </c:pt>
                <c:pt idx="9">
                  <c:v>鹤山红茶</c:v>
                </c:pt>
              </c:strCache>
            </c:strRef>
          </c:cat>
          <c:val>
            <c:numRef>
              <c:f>[数据初步统计.xlsx]区域品牌!$B$31:$B$40</c:f>
              <c:numCache>
                <c:formatCode>0.00_ </c:formatCode>
                <c:ptCount val="10"/>
                <c:pt idx="0">
                  <c:v>12.3</c:v>
                </c:pt>
                <c:pt idx="1">
                  <c:v>8.5</c:v>
                </c:pt>
                <c:pt idx="2">
                  <c:v>3.9</c:v>
                </c:pt>
                <c:pt idx="3">
                  <c:v>2.4</c:v>
                </c:pt>
                <c:pt idx="4">
                  <c:v>1.86</c:v>
                </c:pt>
                <c:pt idx="5">
                  <c:v>1.2</c:v>
                </c:pt>
                <c:pt idx="6">
                  <c:v>1.1</c:v>
                </c:pt>
                <c:pt idx="7">
                  <c:v>0.7</c:v>
                </c:pt>
                <c:pt idx="8">
                  <c:v>0.6</c:v>
                </c:pt>
                <c:pt idx="9">
                  <c:v>0.5</c:v>
                </c:pt>
              </c:numCache>
            </c:numRef>
          </c:val>
        </c:ser>
        <c:dLbls>
          <c:showLegendKey val="0"/>
          <c:showVal val="0"/>
          <c:showCatName val="0"/>
          <c:showSerName val="0"/>
          <c:showPercent val="0"/>
          <c:showBubbleSize val="0"/>
        </c:dLbls>
        <c:gapWidth val="219"/>
        <c:overlap val="-27"/>
        <c:axId val="540590637"/>
        <c:axId val="310109676"/>
      </c:barChart>
      <c:lineChart>
        <c:grouping val="standard"/>
        <c:varyColors val="0"/>
        <c:ser>
          <c:idx val="1"/>
          <c:order val="1"/>
          <c:tx>
            <c:strRef>
              <c:f>"产量（万吨）"</c:f>
              <c:strCache>
                <c:ptCount val="1"/>
                <c:pt idx="0">
                  <c:v>产量（万吨）</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[数据初步统计.xlsx]区域品牌!$A$31:$A$40</c:f>
              <c:strCache>
                <c:ptCount val="10"/>
                <c:pt idx="0">
                  <c:v>英德红茶</c:v>
                </c:pt>
                <c:pt idx="1">
                  <c:v>新会柑茶</c:v>
                </c:pt>
                <c:pt idx="2">
                  <c:v>紫金绿茶</c:v>
                </c:pt>
                <c:pt idx="3">
                  <c:v>罗坑茶</c:v>
                </c:pt>
                <c:pt idx="4">
                  <c:v>沿溪山白毛尖</c:v>
                </c:pt>
                <c:pt idx="5">
                  <c:v>马图绿茶</c:v>
                </c:pt>
                <c:pt idx="6">
                  <c:v>东源仙湖茶</c:v>
                </c:pt>
                <c:pt idx="7">
                  <c:v>象窝茶</c:v>
                </c:pt>
                <c:pt idx="8">
                  <c:v>开平大沙茶</c:v>
                </c:pt>
                <c:pt idx="9">
                  <c:v>鹤山红茶</c:v>
                </c:pt>
              </c:strCache>
            </c:strRef>
          </c:cat>
          <c:val>
            <c:numRef>
              <c:f>[数据初步统计.xlsx]区域品牌!$E$31:$E$40</c:f>
              <c:numCache>
                <c:formatCode>0.0000_ </c:formatCode>
                <c:ptCount val="10"/>
                <c:pt idx="0">
                  <c:v>0.83</c:v>
                </c:pt>
                <c:pt idx="1">
                  <c:v>0.8</c:v>
                </c:pt>
                <c:pt idx="2">
                  <c:v>0.18</c:v>
                </c:pt>
                <c:pt idx="3">
                  <c:v>0.096</c:v>
                </c:pt>
                <c:pt idx="4">
                  <c:v>0.13</c:v>
                </c:pt>
                <c:pt idx="5">
                  <c:v>0.042</c:v>
                </c:pt>
                <c:pt idx="6">
                  <c:v>0.02</c:v>
                </c:pt>
                <c:pt idx="7">
                  <c:v>0.07</c:v>
                </c:pt>
                <c:pt idx="8">
                  <c:v>0.018</c:v>
                </c:pt>
                <c:pt idx="9">
                  <c:v>0.055</c:v>
                </c:pt>
              </c:numCache>
            </c:numRef>
          </c:val>
          <c:smooth val="0"/>
        </c:ser>
        <c:dLbls>
          <c:showLegendKey val="0"/>
          <c:showVal val="0"/>
          <c:showCatName val="0"/>
          <c:showSerName val="0"/>
          <c:showPercent val="0"/>
          <c:showBubbleSize val="0"/>
        </c:dLbls>
        <c:marker val="1"/>
        <c:smooth val="0"/>
        <c:axId val="639051462"/>
        <c:axId val="840616125"/>
      </c:lineChart>
      <c:catAx>
        <c:axId val="5405906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109676"/>
        <c:crosses val="autoZero"/>
        <c:auto val="1"/>
        <c:lblAlgn val="ctr"/>
        <c:lblOffset val="100"/>
        <c:noMultiLvlLbl val="0"/>
      </c:catAx>
      <c:valAx>
        <c:axId val="310109676"/>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590637"/>
        <c:crosses val="autoZero"/>
        <c:crossBetween val="between"/>
      </c:valAx>
      <c:catAx>
        <c:axId val="639051462"/>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0616125"/>
        <c:crosses val="autoZero"/>
        <c:auto val="1"/>
        <c:lblAlgn val="ctr"/>
        <c:lblOffset val="100"/>
        <c:noMultiLvlLbl val="0"/>
      </c:catAx>
      <c:valAx>
        <c:axId val="840616125"/>
        <c:scaling>
          <c:orientation val="minMax"/>
        </c:scaling>
        <c:delete val="0"/>
        <c:axPos val="r"/>
        <c:numFmt formatCode="0.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9051462"/>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2018</a:t>
            </a:r>
            <a:r>
              <a:rPr altLang="en-US"/>
              <a:t>年</a:t>
            </a:r>
            <a:r>
              <a:t>企业销售规模分布</a:t>
            </a:r>
          </a:p>
        </c:rich>
      </c:tx>
      <c:layout>
        <c:manualLayout>
          <c:xMode val="edge"/>
          <c:yMode val="edge"/>
          <c:x val="0.209389503748661"/>
          <c:y val="0.032"/>
        </c:manualLayout>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[数据初步统计.xlsx]样本数据!$A$2:$A$6</c:f>
              <c:strCache>
                <c:ptCount val="5"/>
                <c:pt idx="0">
                  <c:v>≥1亿以上</c:v>
                </c:pt>
                <c:pt idx="1">
                  <c:v>[5千万,1亿)</c:v>
                </c:pt>
                <c:pt idx="2">
                  <c:v>[2千万,5千万)</c:v>
                </c:pt>
                <c:pt idx="3">
                  <c:v>[500万,2千万)</c:v>
                </c:pt>
                <c:pt idx="4">
                  <c:v>＜500万</c:v>
                </c:pt>
              </c:strCache>
            </c:strRef>
          </c:cat>
          <c:val>
            <c:numRef>
              <c:f>[数据初步统计.xlsx]样本数据!$C$2:$C$6</c:f>
              <c:numCache>
                <c:formatCode>0.00%</c:formatCode>
                <c:ptCount val="5"/>
                <c:pt idx="0">
                  <c:v>0.0192307692307692</c:v>
                </c:pt>
                <c:pt idx="1">
                  <c:v>0.269230769230769</c:v>
                </c:pt>
                <c:pt idx="2">
                  <c:v>0.355769230769231</c:v>
                </c:pt>
                <c:pt idx="3">
                  <c:v>0.163461538461538</c:v>
                </c:pt>
                <c:pt idx="4">
                  <c:v>0.192307692307692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2018</a:t>
            </a:r>
            <a:r>
              <a:rPr altLang="en-US"/>
              <a:t>年各茶类产量占比</a:t>
            </a:r>
            <a:endParaRPr altLang="en-US"/>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[数据初步统计.xlsx]样本数据!$F$34:$F$39</c:f>
              <c:strCache>
                <c:ptCount val="6"/>
                <c:pt idx="0">
                  <c:v>绿茶</c:v>
                </c:pt>
                <c:pt idx="1">
                  <c:v>红茶</c:v>
                </c:pt>
                <c:pt idx="2">
                  <c:v>乌龙茶</c:v>
                </c:pt>
                <c:pt idx="3">
                  <c:v>白茶</c:v>
                </c:pt>
                <c:pt idx="4">
                  <c:v>柑普茶</c:v>
                </c:pt>
                <c:pt idx="5">
                  <c:v>植物饮品茶</c:v>
                </c:pt>
              </c:strCache>
            </c:strRef>
          </c:cat>
          <c:val>
            <c:numRef>
              <c:f>[数据初步统计.xlsx]样本数据!$H$34:$H$39</c:f>
              <c:numCache>
                <c:formatCode>0.00%</c:formatCode>
                <c:ptCount val="6"/>
                <c:pt idx="0">
                  <c:v>0.304239850021498</c:v>
                </c:pt>
                <c:pt idx="1">
                  <c:v>0.280590113631194</c:v>
                </c:pt>
                <c:pt idx="2">
                  <c:v>0.265867733710306</c:v>
                </c:pt>
                <c:pt idx="3">
                  <c:v>0.0279160084099119</c:v>
                </c:pt>
                <c:pt idx="4">
                  <c:v>0.017795434043938</c:v>
                </c:pt>
                <c:pt idx="5">
                  <c:v>0.103590860183152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2018</a:t>
            </a:r>
            <a:r>
              <a:rPr altLang="en-US"/>
              <a:t>年</a:t>
            </a:r>
            <a:r>
              <a:t>各茶类同比增长率</a:t>
            </a:r>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59580552907531"/>
                  <c:y val="-0.051627033792240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19637750238322"/>
                  <c:y val="-0.042240300375469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[数据初步统计.xlsx]样本数据!$N$34:$N$39</c:f>
              <c:strCache>
                <c:ptCount val="6"/>
                <c:pt idx="0">
                  <c:v>绿茶</c:v>
                </c:pt>
                <c:pt idx="1">
                  <c:v>红茶</c:v>
                </c:pt>
                <c:pt idx="2">
                  <c:v>乌龙茶</c:v>
                </c:pt>
                <c:pt idx="3">
                  <c:v>白茶</c:v>
                </c:pt>
                <c:pt idx="4">
                  <c:v>柑普茶</c:v>
                </c:pt>
                <c:pt idx="5">
                  <c:v>植物饮品茶</c:v>
                </c:pt>
              </c:strCache>
            </c:strRef>
          </c:cat>
          <c:val>
            <c:numRef>
              <c:f>[数据初步统计.xlsx]样本数据!$O$34:$O$39</c:f>
              <c:numCache>
                <c:formatCode>0.00%</c:formatCode>
                <c:ptCount val="6"/>
                <c:pt idx="0">
                  <c:v>0.0356449133319643</c:v>
                </c:pt>
                <c:pt idx="1">
                  <c:v>-0.0389419710046955</c:v>
                </c:pt>
                <c:pt idx="2">
                  <c:v>-0.0181401760720059</c:v>
                </c:pt>
                <c:pt idx="3">
                  <c:v>0.176808266360505</c:v>
                </c:pt>
                <c:pt idx="4">
                  <c:v>0.319244605868961</c:v>
                </c:pt>
                <c:pt idx="5">
                  <c:v>0.0738768065817597</c:v>
                </c:pt>
              </c:numCache>
            </c:numRef>
          </c:val>
          <c:smooth val="0"/>
        </c:ser>
        <c:dLbls>
          <c:showLegendKey val="0"/>
          <c:showVal val="1"/>
          <c:showCatName val="0"/>
          <c:showSerName val="0"/>
          <c:showPercent val="0"/>
          <c:showBubbleSize val="0"/>
        </c:dLbls>
        <c:marker val="1"/>
        <c:smooth val="0"/>
        <c:axId val="692395466"/>
        <c:axId val="949653347"/>
      </c:lineChart>
      <c:catAx>
        <c:axId val="69239546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9653347"/>
        <c:crosses val="autoZero"/>
        <c:auto val="1"/>
        <c:lblAlgn val="ctr"/>
        <c:lblOffset val="100"/>
        <c:noMultiLvlLbl val="0"/>
      </c:catAx>
      <c:valAx>
        <c:axId val="9496533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239546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销售渠道分布</a:t>
            </a:r>
          </a:p>
        </c:rich>
      </c:tx>
      <c:layout/>
      <c:overlay val="0"/>
      <c:spPr>
        <a:noFill/>
        <a:ln>
          <a:noFill/>
        </a:ln>
        <a:effectLst/>
      </c:spPr>
    </c:title>
    <c:autoTitleDeleted val="0"/>
    <c:plotArea>
      <c:layout/>
      <c:barChart>
        <c:barDir val="col"/>
        <c:grouping val="clustered"/>
        <c:varyColors val="0"/>
        <c:ser>
          <c:idx val="0"/>
          <c:order val="0"/>
          <c:tx>
            <c:strRef>
              <c:f>[数据初步统计.xlsx]样本数据!$F$43</c:f>
              <c:strCache>
                <c:ptCount val="1"/>
                <c:pt idx="0">
                  <c:v>省内</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[数据初步统计.xlsx]样本数据!$G$42:$J$42</c:f>
              <c:strCache>
                <c:ptCount val="4"/>
                <c:pt idx="0">
                  <c:v>2017销售量</c:v>
                </c:pt>
                <c:pt idx="1">
                  <c:v>2018销售量</c:v>
                </c:pt>
                <c:pt idx="2">
                  <c:v>2017销售额</c:v>
                </c:pt>
                <c:pt idx="3">
                  <c:v>2018销售额</c:v>
                </c:pt>
              </c:strCache>
            </c:strRef>
          </c:cat>
          <c:val>
            <c:numRef>
              <c:f>[数据初步统计.xlsx]样本数据!$G$43:$J$43</c:f>
              <c:numCache>
                <c:formatCode>0.00%</c:formatCode>
                <c:ptCount val="4"/>
                <c:pt idx="0">
                  <c:v>0.773529338655634</c:v>
                </c:pt>
                <c:pt idx="1">
                  <c:v>0.782998040048199</c:v>
                </c:pt>
                <c:pt idx="2">
                  <c:v>0.791211477184312</c:v>
                </c:pt>
                <c:pt idx="3">
                  <c:v>0.797968504481311</c:v>
                </c:pt>
              </c:numCache>
            </c:numRef>
          </c:val>
        </c:ser>
        <c:ser>
          <c:idx val="1"/>
          <c:order val="1"/>
          <c:tx>
            <c:strRef>
              <c:f>[数据初步统计.xlsx]样本数据!$F$44</c:f>
              <c:strCache>
                <c:ptCount val="1"/>
                <c:pt idx="0">
                  <c:v>省外</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[数据初步统计.xlsx]样本数据!$G$42:$J$42</c:f>
              <c:strCache>
                <c:ptCount val="4"/>
                <c:pt idx="0">
                  <c:v>2017销售量</c:v>
                </c:pt>
                <c:pt idx="1">
                  <c:v>2018销售量</c:v>
                </c:pt>
                <c:pt idx="2">
                  <c:v>2017销售额</c:v>
                </c:pt>
                <c:pt idx="3">
                  <c:v>2018销售额</c:v>
                </c:pt>
              </c:strCache>
            </c:strRef>
          </c:cat>
          <c:val>
            <c:numRef>
              <c:f>[数据初步统计.xlsx]样本数据!$G$44:$J$44</c:f>
              <c:numCache>
                <c:formatCode>0.00%</c:formatCode>
                <c:ptCount val="4"/>
                <c:pt idx="0">
                  <c:v>0.21361769172134</c:v>
                </c:pt>
                <c:pt idx="1">
                  <c:v>0.209132978758285</c:v>
                </c:pt>
                <c:pt idx="2">
                  <c:v>0.193416861196907</c:v>
                </c:pt>
                <c:pt idx="3">
                  <c:v>0.189774361659953</c:v>
                </c:pt>
              </c:numCache>
            </c:numRef>
          </c:val>
        </c:ser>
        <c:ser>
          <c:idx val="2"/>
          <c:order val="2"/>
          <c:tx>
            <c:strRef>
              <c:f>[数据初步统计.xlsx]样本数据!$F$45</c:f>
              <c:strCache>
                <c:ptCount val="1"/>
                <c:pt idx="0">
                  <c:v>出口</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[数据初步统计.xlsx]样本数据!$G$42:$J$42</c:f>
              <c:strCache>
                <c:ptCount val="4"/>
                <c:pt idx="0">
                  <c:v>2017销售量</c:v>
                </c:pt>
                <c:pt idx="1">
                  <c:v>2018销售量</c:v>
                </c:pt>
                <c:pt idx="2">
                  <c:v>2017销售额</c:v>
                </c:pt>
                <c:pt idx="3">
                  <c:v>2018销售额</c:v>
                </c:pt>
              </c:strCache>
            </c:strRef>
          </c:cat>
          <c:val>
            <c:numRef>
              <c:f>[数据初步统计.xlsx]样本数据!$G$45:$J$45</c:f>
              <c:numCache>
                <c:formatCode>0.00%</c:formatCode>
                <c:ptCount val="4"/>
                <c:pt idx="0">
                  <c:v>0.0128529696230259</c:v>
                </c:pt>
                <c:pt idx="1">
                  <c:v>0.00786898119351619</c:v>
                </c:pt>
                <c:pt idx="2">
                  <c:v>0.015371661618781</c:v>
                </c:pt>
                <c:pt idx="3">
                  <c:v>0.0122571338587367</c:v>
                </c:pt>
              </c:numCache>
            </c:numRef>
          </c:val>
        </c:ser>
        <c:ser>
          <c:idx val="3"/>
          <c:order val="3"/>
          <c:tx>
            <c:strRef>
              <c:f>[数据初步统计.xlsx]样本数据!$F$46</c:f>
              <c:strCache>
                <c:ptCount val="1"/>
                <c:pt idx="0">
                  <c:v>电商</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[数据初步统计.xlsx]样本数据!$G$42:$J$42</c:f>
              <c:strCache>
                <c:ptCount val="4"/>
                <c:pt idx="0">
                  <c:v>2017销售量</c:v>
                </c:pt>
                <c:pt idx="1">
                  <c:v>2018销售量</c:v>
                </c:pt>
                <c:pt idx="2">
                  <c:v>2017销售额</c:v>
                </c:pt>
                <c:pt idx="3">
                  <c:v>2018销售额</c:v>
                </c:pt>
              </c:strCache>
            </c:strRef>
          </c:cat>
          <c:val>
            <c:numRef>
              <c:f>[数据初步统计.xlsx]样本数据!$G$46:$J$46</c:f>
              <c:numCache>
                <c:formatCode>0.00%</c:formatCode>
                <c:ptCount val="4"/>
                <c:pt idx="0">
                  <c:v>0.0977401267940338</c:v>
                </c:pt>
                <c:pt idx="1">
                  <c:v>0.111353014057475</c:v>
                </c:pt>
                <c:pt idx="2">
                  <c:v>0.0986709948606513</c:v>
                </c:pt>
                <c:pt idx="3">
                  <c:v>0.0983801469473986</c:v>
                </c:pt>
              </c:numCache>
            </c:numRef>
          </c:val>
        </c:ser>
        <c:dLbls>
          <c:showLegendKey val="0"/>
          <c:showVal val="1"/>
          <c:showCatName val="0"/>
          <c:showSerName val="0"/>
          <c:showPercent val="0"/>
          <c:showBubbleSize val="0"/>
        </c:dLbls>
        <c:gapWidth val="219"/>
        <c:overlap val="-27"/>
        <c:axId val="78151040"/>
        <c:axId val="78161024"/>
      </c:barChart>
      <c:catAx>
        <c:axId val="78151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61024"/>
        <c:crosses val="autoZero"/>
        <c:auto val="1"/>
        <c:lblAlgn val="ctr"/>
        <c:lblOffset val="100"/>
        <c:noMultiLvlLbl val="0"/>
      </c:catAx>
      <c:valAx>
        <c:axId val="78161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510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各茶类的平均销售单价（元</a:t>
            </a:r>
            <a:r>
              <a:rPr lang="en-US" altLang="zh-CN"/>
              <a:t>/</a:t>
            </a:r>
            <a:r>
              <a:rPr altLang="en-US"/>
              <a:t>千克）</a:t>
            </a:r>
            <a:endParaRPr altLang="en-US"/>
          </a:p>
        </c:rich>
      </c:tx>
      <c:layout/>
      <c:overlay val="0"/>
      <c:spPr>
        <a:noFill/>
        <a:ln>
          <a:noFill/>
        </a:ln>
        <a:effectLst/>
      </c:spPr>
    </c:title>
    <c:autoTitleDeleted val="0"/>
    <c:plotArea>
      <c:layout/>
      <c:barChart>
        <c:barDir val="col"/>
        <c:grouping val="clustered"/>
        <c:varyColors val="0"/>
        <c:ser>
          <c:idx val="0"/>
          <c:order val="0"/>
          <c:tx>
            <c:strRef>
              <c:f>"2017年"</c:f>
              <c:strCache>
                <c:ptCount val="1"/>
                <c:pt idx="0">
                  <c:v>2017年</c:v>
                </c:pt>
              </c:strCache>
            </c:strRef>
          </c:tx>
          <c:spPr>
            <a:solidFill>
              <a:schemeClr val="accent1"/>
            </a:solidFill>
            <a:ln>
              <a:noFill/>
            </a:ln>
            <a:effectLst/>
          </c:spPr>
          <c:invertIfNegative val="0"/>
          <c:dLbls>
            <c:dLbl>
              <c:idx val="1"/>
              <c:layout>
                <c:manualLayout>
                  <c:x val="0"/>
                  <c:y val="0.0336040324838981"/>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208385956049507"/>
                  <c:y val="0.0462055446653598"/>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37888355645365"/>
                  <c:y val="0.025203024362923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[数据初步统计.xlsx]样本数据!$F$24:$F$29</c:f>
              <c:strCache>
                <c:ptCount val="6"/>
                <c:pt idx="0">
                  <c:v>绿茶</c:v>
                </c:pt>
                <c:pt idx="1">
                  <c:v>红茶</c:v>
                </c:pt>
                <c:pt idx="2">
                  <c:v>乌龙茶</c:v>
                </c:pt>
                <c:pt idx="3">
                  <c:v>白茶</c:v>
                </c:pt>
                <c:pt idx="4">
                  <c:v>柑普茶</c:v>
                </c:pt>
                <c:pt idx="5">
                  <c:v>植物饮品茶</c:v>
                </c:pt>
              </c:strCache>
            </c:strRef>
          </c:cat>
          <c:val>
            <c:numRef>
              <c:f>[数据初步统计.xlsx]样本数据!$I$24:$I$29</c:f>
              <c:numCache>
                <c:formatCode>0.00_ </c:formatCode>
                <c:ptCount val="6"/>
                <c:pt idx="0">
                  <c:v>320.413009832482</c:v>
                </c:pt>
                <c:pt idx="1">
                  <c:v>418.77953616149</c:v>
                </c:pt>
                <c:pt idx="2">
                  <c:v>370.499143729105</c:v>
                </c:pt>
                <c:pt idx="3">
                  <c:v>358.789129686962</c:v>
                </c:pt>
                <c:pt idx="4">
                  <c:v>1128.18689432139</c:v>
                </c:pt>
                <c:pt idx="5">
                  <c:v>364.11771207038</c:v>
                </c:pt>
              </c:numCache>
            </c:numRef>
          </c:val>
        </c:ser>
        <c:ser>
          <c:idx val="1"/>
          <c:order val="1"/>
          <c:tx>
            <c:strRef>
              <c:f>"2018年"</c:f>
              <c:strCache>
                <c:ptCount val="1"/>
                <c:pt idx="0">
                  <c:v>2018年</c:v>
                </c:pt>
              </c:strCache>
            </c:strRef>
          </c:tx>
          <c:spPr>
            <a:solidFill>
              <a:schemeClr val="accent2"/>
            </a:solidFill>
            <a:ln>
              <a:noFill/>
            </a:ln>
            <a:effectLst/>
          </c:spPr>
          <c:invertIfNegative val="0"/>
          <c:dLbls>
            <c:dLbl>
              <c:idx val="0"/>
              <c:layout>
                <c:manualLayout>
                  <c:x val="0.0170497600404142"/>
                  <c:y val="0.0504060487258471"/>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947208891134125"/>
                  <c:y val="0.0294035284234108"/>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[数据初步统计.xlsx]样本数据!$F$24:$F$29</c:f>
              <c:strCache>
                <c:ptCount val="6"/>
                <c:pt idx="0">
                  <c:v>绿茶</c:v>
                </c:pt>
                <c:pt idx="1">
                  <c:v>红茶</c:v>
                </c:pt>
                <c:pt idx="2">
                  <c:v>乌龙茶</c:v>
                </c:pt>
                <c:pt idx="3">
                  <c:v>白茶</c:v>
                </c:pt>
                <c:pt idx="4">
                  <c:v>柑普茶</c:v>
                </c:pt>
                <c:pt idx="5">
                  <c:v>植物饮品茶</c:v>
                </c:pt>
              </c:strCache>
            </c:strRef>
          </c:cat>
          <c:val>
            <c:numRef>
              <c:f>[数据初步统计.xlsx]样本数据!$J$24:$J$29</c:f>
              <c:numCache>
                <c:formatCode>0.00_ </c:formatCode>
                <c:ptCount val="6"/>
                <c:pt idx="0">
                  <c:v>312.438340568423</c:v>
                </c:pt>
                <c:pt idx="1">
                  <c:v>428.37481039101</c:v>
                </c:pt>
                <c:pt idx="2">
                  <c:v>406.591244181996</c:v>
                </c:pt>
                <c:pt idx="3">
                  <c:v>388.674971687429</c:v>
                </c:pt>
                <c:pt idx="4">
                  <c:v>1242.39792353</c:v>
                </c:pt>
                <c:pt idx="5">
                  <c:v>335.638796142912</c:v>
                </c:pt>
              </c:numCache>
            </c:numRef>
          </c:val>
        </c:ser>
        <c:dLbls>
          <c:showLegendKey val="0"/>
          <c:showVal val="1"/>
          <c:showCatName val="0"/>
          <c:showSerName val="0"/>
          <c:showPercent val="0"/>
          <c:showBubbleSize val="0"/>
        </c:dLbls>
        <c:gapWidth val="219"/>
        <c:overlap val="-27"/>
        <c:axId val="84927616"/>
        <c:axId val="84929152"/>
      </c:barChart>
      <c:catAx>
        <c:axId val="84927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29152"/>
        <c:crosses val="autoZero"/>
        <c:auto val="1"/>
        <c:lblAlgn val="ctr"/>
        <c:lblOffset val="100"/>
        <c:noMultiLvlLbl val="0"/>
      </c:catAx>
      <c:valAx>
        <c:axId val="8492915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2761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2018</a:t>
            </a:r>
            <a:r>
              <a:t>各茶类亩均产值（万元/亩）</a:t>
            </a:r>
          </a:p>
        </c:rich>
      </c:tx>
      <c:layout/>
      <c:overlay val="0"/>
      <c:spPr>
        <a:noFill/>
        <a:ln>
          <a:noFill/>
        </a:ln>
        <a:effectLst/>
      </c:spPr>
    </c:title>
    <c:autoTitleDeleted val="0"/>
    <c:plotArea>
      <c:layout/>
      <c:barChart>
        <c:barDir val="col"/>
        <c:grouping val="clustered"/>
        <c:varyColors val="0"/>
        <c:ser>
          <c:idx val="0"/>
          <c:order val="0"/>
          <c:tx>
            <c:strRef>
              <c:f>[数据初步统计.xlsx]样本数据!$H$63</c:f>
              <c:strCache>
                <c:ptCount val="1"/>
                <c:pt idx="0">
                  <c:v>亩均产值（万元/亩）</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[数据初步统计.xlsx]样本数据!$G$64:$G$69</c:f>
              <c:strCache>
                <c:ptCount val="6"/>
                <c:pt idx="0">
                  <c:v>绿茶</c:v>
                </c:pt>
                <c:pt idx="1">
                  <c:v>红茶</c:v>
                </c:pt>
                <c:pt idx="2">
                  <c:v>乌龙茶</c:v>
                </c:pt>
                <c:pt idx="3">
                  <c:v>白茶</c:v>
                </c:pt>
                <c:pt idx="4">
                  <c:v>柑普茶</c:v>
                </c:pt>
                <c:pt idx="5">
                  <c:v>植物饮品茶</c:v>
                </c:pt>
              </c:strCache>
            </c:strRef>
          </c:cat>
          <c:val>
            <c:numRef>
              <c:f>[数据初步统计.xlsx]样本数据!$H$64:$H$69</c:f>
              <c:numCache>
                <c:formatCode>0.0000_ </c:formatCode>
                <c:ptCount val="6"/>
                <c:pt idx="0">
                  <c:v>1.24398278335725</c:v>
                </c:pt>
                <c:pt idx="1">
                  <c:v>1.40862756342406</c:v>
                </c:pt>
                <c:pt idx="2">
                  <c:v>1.9186602185982</c:v>
                </c:pt>
                <c:pt idx="3">
                  <c:v>1.12609375</c:v>
                </c:pt>
                <c:pt idx="4">
                  <c:v>3.68714426209355</c:v>
                </c:pt>
                <c:pt idx="5">
                  <c:v>1.64609023876404</c:v>
                </c:pt>
              </c:numCache>
            </c:numRef>
          </c:val>
        </c:ser>
        <c:dLbls>
          <c:showLegendKey val="0"/>
          <c:showVal val="1"/>
          <c:showCatName val="0"/>
          <c:showSerName val="0"/>
          <c:showPercent val="0"/>
          <c:showBubbleSize val="0"/>
        </c:dLbls>
        <c:gapWidth val="219"/>
        <c:overlap val="-27"/>
        <c:axId val="140752689"/>
        <c:axId val="532162622"/>
      </c:barChart>
      <c:catAx>
        <c:axId val="1407526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2162622"/>
        <c:crosses val="autoZero"/>
        <c:auto val="1"/>
        <c:lblAlgn val="ctr"/>
        <c:lblOffset val="100"/>
        <c:noMultiLvlLbl val="0"/>
      </c:catAx>
      <c:valAx>
        <c:axId val="532162622"/>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075268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97</Words>
  <Characters>556</Characters>
  <Lines>4</Lines>
  <Paragraphs>1</Paragraphs>
  <TotalTime>1</TotalTime>
  <ScaleCrop>false</ScaleCrop>
  <LinksUpToDate>false</LinksUpToDate>
  <CharactersWithSpaces>652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dc:creator>
  <cp:lastModifiedBy>Administrator</cp:lastModifiedBy>
  <dcterms:modified xsi:type="dcterms:W3CDTF">2019-10-16T01:43:18Z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