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24"/>
          <w:lang w:eastAsia="zh-CN"/>
        </w:rPr>
      </w:pPr>
      <w:bookmarkStart w:id="0" w:name="_Hlk517454985"/>
      <w:r>
        <w:rPr>
          <w:rFonts w:hint="eastAsia" w:eastAsia="宋体"/>
          <w:b/>
          <w:sz w:val="24"/>
          <w:lang w:eastAsia="zh-CN"/>
        </w:rPr>
        <w:t>区域品牌</w:t>
      </w:r>
      <w:r>
        <w:rPr>
          <w:rFonts w:hint="eastAsia"/>
          <w:b/>
          <w:sz w:val="24"/>
        </w:rPr>
        <w:t>数据</w:t>
      </w:r>
      <w:r>
        <w:rPr>
          <w:rFonts w:hint="eastAsia" w:eastAsia="宋体"/>
          <w:b/>
          <w:sz w:val="24"/>
          <w:lang w:eastAsia="zh-CN"/>
        </w:rPr>
        <w:t>展示</w:t>
      </w:r>
    </w:p>
    <w:p>
      <w:pPr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</w:rPr>
        <w:t>一、流通形势</w:t>
      </w:r>
    </w:p>
    <w:p>
      <w:pPr>
        <w:jc w:val="left"/>
        <w:rPr>
          <w:rFonts w:hint="eastAsia" w:eastAsia="宋体"/>
          <w:sz w:val="24"/>
          <w:lang w:eastAsia="zh-CN"/>
        </w:rPr>
      </w:pPr>
      <w:r>
        <w:rPr>
          <w:sz w:val="24"/>
        </w:rPr>
        <w:t>1、</w:t>
      </w:r>
      <w:r>
        <w:rPr>
          <w:rFonts w:hint="eastAsia" w:eastAsia="宋体"/>
          <w:sz w:val="24"/>
          <w:lang w:eastAsia="zh-CN"/>
        </w:rPr>
        <w:t>流通地图：区域品牌价值，产量</w:t>
      </w:r>
    </w:p>
    <w:p>
      <w:pPr>
        <w:rPr>
          <w:sz w:val="24"/>
        </w:rPr>
      </w:pPr>
    </w:p>
    <w:p>
      <w:pPr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</w:rPr>
        <w:t>二、</w:t>
      </w:r>
      <w:r>
        <w:rPr>
          <w:rFonts w:hint="eastAsia" w:eastAsia="宋体"/>
          <w:b/>
          <w:sz w:val="24"/>
          <w:lang w:eastAsia="zh-CN"/>
        </w:rPr>
        <w:t>区域公用品牌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1</w:t>
      </w:r>
      <w:r>
        <w:rPr>
          <w:sz w:val="24"/>
        </w:rPr>
        <w:t>、</w:t>
      </w:r>
      <w:r>
        <w:rPr>
          <w:rFonts w:hint="eastAsia" w:eastAsia="宋体"/>
          <w:sz w:val="24"/>
          <w:lang w:eastAsia="zh-CN"/>
        </w:rPr>
        <w:t>品牌主要指标：环形数据，品牌价值排名、品牌价值、亩均效益。</w:t>
      </w:r>
    </w:p>
    <w:bookmarkEnd w:id="0"/>
    <w:p>
      <w:pPr>
        <w:numPr>
          <w:ilvl w:val="0"/>
          <w:numId w:val="1"/>
        </w:num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近五年经济指标：表格，产值、产量、亩均效益、带动农户、查看更多</w:t>
      </w:r>
    </w:p>
    <w:p>
      <w:pPr>
        <w:numPr>
          <w:numId w:val="0"/>
        </w:numPr>
        <w:rPr>
          <w:rFonts w:hint="eastAsia" w:eastAsia="宋体"/>
          <w:sz w:val="24"/>
          <w:lang w:eastAsia="zh-CN"/>
        </w:rPr>
      </w:pPr>
    </w:p>
    <w:p>
      <w:pPr>
        <w:numPr>
          <w:ilvl w:val="0"/>
          <w:numId w:val="2"/>
        </w:numPr>
        <w:rPr>
          <w:rFonts w:hint="eastAsia" w:eastAsia="宋体"/>
          <w:b/>
          <w:sz w:val="24"/>
          <w:lang w:eastAsia="zh-CN"/>
        </w:rPr>
      </w:pPr>
      <w:r>
        <w:rPr>
          <w:rFonts w:hint="eastAsia" w:eastAsia="宋体"/>
          <w:b/>
          <w:sz w:val="24"/>
          <w:lang w:eastAsia="zh-CN"/>
        </w:rPr>
        <w:t>区域品牌销售地区</w:t>
      </w:r>
    </w:p>
    <w:p>
      <w:pPr>
        <w:rPr>
          <w:rFonts w:hint="eastAsia" w:eastAsia="宋体"/>
          <w:sz w:val="24"/>
          <w:lang w:eastAsia="zh-CN"/>
        </w:rPr>
      </w:pPr>
      <w:r>
        <w:rPr>
          <w:sz w:val="24"/>
        </w:rPr>
        <w:t>1、</w:t>
      </w:r>
      <w:r>
        <w:rPr>
          <w:rFonts w:hint="eastAsia" w:eastAsia="宋体"/>
          <w:sz w:val="24"/>
          <w:lang w:eastAsia="zh-CN"/>
        </w:rPr>
        <w:t>省内、省外：地图</w:t>
      </w:r>
      <w:bookmarkStart w:id="2" w:name="_GoBack"/>
      <w:bookmarkEnd w:id="2"/>
    </w:p>
    <w:p>
      <w:pPr>
        <w:rPr>
          <w:rFonts w:hint="eastAsia" w:eastAsia="宋体"/>
          <w:b/>
          <w:sz w:val="24"/>
          <w:lang w:eastAsia="zh-CN"/>
        </w:rPr>
      </w:pPr>
      <w:r>
        <w:rPr>
          <w:sz w:val="24"/>
        </w:rPr>
        <w:t>2、</w:t>
      </w:r>
      <w:r>
        <w:rPr>
          <w:rFonts w:hint="eastAsia" w:eastAsia="宋体"/>
          <w:sz w:val="24"/>
          <w:lang w:eastAsia="zh-CN"/>
        </w:rPr>
        <w:t>主要销售渠道：环形饼图，批发市场、超市、专卖店、电商、其他</w:t>
      </w:r>
    </w:p>
    <w:p>
      <w:pPr>
        <w:rPr>
          <w:b/>
          <w:sz w:val="24"/>
        </w:rPr>
      </w:pPr>
    </w:p>
    <w:p>
      <w:pPr>
        <w:rPr>
          <w:rFonts w:hint="eastAsia" w:eastAsia="宋体"/>
          <w:b/>
          <w:color w:val="auto"/>
          <w:sz w:val="24"/>
          <w:lang w:eastAsia="zh-CN"/>
        </w:rPr>
      </w:pPr>
      <w:bookmarkStart w:id="1" w:name="_Hlk517688039"/>
      <w:r>
        <w:rPr>
          <w:rFonts w:hint="eastAsia"/>
          <w:b/>
          <w:color w:val="auto"/>
          <w:sz w:val="24"/>
        </w:rPr>
        <w:t>四、</w:t>
      </w:r>
      <w:r>
        <w:rPr>
          <w:rFonts w:hint="eastAsia" w:eastAsia="宋体"/>
          <w:b/>
          <w:color w:val="auto"/>
          <w:sz w:val="24"/>
          <w:lang w:eastAsia="zh-CN"/>
        </w:rPr>
        <w:t>产品指标</w:t>
      </w:r>
    </w:p>
    <w:p>
      <w:pPr>
        <w:rPr>
          <w:rFonts w:hint="eastAsia" w:eastAsia="宋体"/>
          <w:color w:val="auto"/>
          <w:sz w:val="24"/>
          <w:lang w:eastAsia="zh-CN"/>
        </w:rPr>
      </w:pPr>
      <w:r>
        <w:rPr>
          <w:color w:val="auto"/>
          <w:sz w:val="24"/>
        </w:rPr>
        <w:t>1、</w:t>
      </w:r>
      <w:bookmarkEnd w:id="1"/>
      <w:r>
        <w:rPr>
          <w:rFonts w:hint="eastAsia" w:eastAsia="宋体"/>
          <w:color w:val="auto"/>
          <w:sz w:val="24"/>
          <w:lang w:eastAsia="zh-CN"/>
        </w:rPr>
        <w:t>六大能力和平均指标对比</w:t>
      </w:r>
    </w:p>
    <w:p>
      <w:pPr>
        <w:rPr>
          <w:rFonts w:hint="eastAsia" w:eastAsia="宋体"/>
          <w:color w:val="auto"/>
          <w:sz w:val="24"/>
          <w:lang w:eastAsia="zh-CN"/>
        </w:rPr>
      </w:pPr>
      <w:r>
        <w:rPr>
          <w:color w:val="auto"/>
          <w:sz w:val="24"/>
        </w:rPr>
        <w:t>2、</w:t>
      </w:r>
      <w:r>
        <w:rPr>
          <w:rFonts w:hint="eastAsia" w:eastAsia="宋体"/>
          <w:color w:val="auto"/>
          <w:sz w:val="24"/>
          <w:lang w:eastAsia="zh-CN"/>
        </w:rPr>
        <w:t>产业产值、产出效益、产品影响力、企业竞争力、产业化程度</w:t>
      </w:r>
    </w:p>
    <w:p>
      <w:pPr>
        <w:rPr>
          <w:rFonts w:hint="eastAsia" w:eastAsia="宋体"/>
          <w:color w:val="auto"/>
          <w:sz w:val="24"/>
          <w:lang w:eastAsia="zh-CN"/>
        </w:rPr>
      </w:pPr>
    </w:p>
    <w:p>
      <w:pPr>
        <w:rPr>
          <w:rFonts w:hint="eastAsia" w:eastAsia="宋体"/>
          <w:b/>
          <w:color w:val="auto"/>
          <w:sz w:val="24"/>
          <w:lang w:eastAsia="zh-CN"/>
        </w:rPr>
      </w:pPr>
      <w:r>
        <w:rPr>
          <w:rFonts w:hint="eastAsia" w:eastAsia="宋体"/>
          <w:b/>
          <w:color w:val="auto"/>
          <w:sz w:val="24"/>
          <w:lang w:eastAsia="zh-CN"/>
        </w:rPr>
        <w:t>五</w:t>
      </w:r>
      <w:r>
        <w:rPr>
          <w:rFonts w:hint="eastAsia"/>
          <w:b/>
          <w:color w:val="auto"/>
          <w:sz w:val="24"/>
        </w:rPr>
        <w:t>、</w:t>
      </w:r>
      <w:r>
        <w:rPr>
          <w:rFonts w:hint="eastAsia" w:eastAsia="宋体"/>
          <w:b/>
          <w:color w:val="auto"/>
          <w:sz w:val="24"/>
          <w:lang w:eastAsia="zh-CN"/>
        </w:rPr>
        <w:t>龙头企业指标</w:t>
      </w:r>
    </w:p>
    <w:p>
      <w:pPr>
        <w:rPr>
          <w:rFonts w:hint="eastAsia" w:eastAsia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4"/>
          <w:lang w:val="en-US" w:eastAsia="zh-CN"/>
        </w:rPr>
        <w:t>1、</w:t>
      </w:r>
    </w:p>
    <w:p>
      <w:pPr>
        <w:rPr>
          <w:rFonts w:hint="eastAsia" w:eastAsia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eastAsia="宋体"/>
          <w:b w:val="0"/>
          <w:bCs w:val="0"/>
          <w:color w:val="auto"/>
          <w:sz w:val="24"/>
          <w:lang w:val="en-US" w:eastAsia="zh-CN"/>
        </w:rPr>
        <w:t>2、</w:t>
      </w:r>
    </w:p>
    <w:p>
      <w:pPr>
        <w:rPr>
          <w:b/>
          <w:color w:val="auto"/>
          <w:sz w:val="24"/>
        </w:rPr>
      </w:pPr>
      <w:r>
        <w:rPr>
          <w:rFonts w:hint="eastAsia" w:eastAsia="宋体"/>
          <w:b w:val="0"/>
          <w:bCs w:val="0"/>
          <w:color w:val="auto"/>
          <w:sz w:val="24"/>
          <w:lang w:val="en-US" w:eastAsia="zh-CN"/>
        </w:rPr>
        <w:t>3、</w:t>
      </w:r>
      <w:r>
        <w:rPr>
          <w:color w:val="auto"/>
          <w:sz w:val="24"/>
        </w:rPr>
        <w:br w:type="page"/>
      </w:r>
      <w:r>
        <w:rPr>
          <w:rFonts w:hint="eastAsia"/>
          <w:b/>
          <w:color w:val="auto"/>
          <w:sz w:val="24"/>
        </w:rPr>
        <w:t>五、生猪产业化形势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1、</w:t>
      </w:r>
      <w:r>
        <w:rPr>
          <w:rFonts w:hint="eastAsia"/>
          <w:color w:val="auto"/>
          <w:sz w:val="24"/>
        </w:rPr>
        <w:t>生猪省级龙头企业</w:t>
      </w:r>
    </w:p>
    <w:p>
      <w:pPr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42家、带动农户（145936户）、带动农户增收（180153万元）、户均增收（12344元/户）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2、生猪品牌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（1）十大名牌（12个），省名牌产品（42个），名特优新产品（44个），菜篮子基地（个）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（2）生猪品牌年销售额（114.6亿元），占全省品牌农产品销售额占比（13.1%），全省生猪产值占比（28.6%）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</w:t>
      </w:r>
      <w:r>
        <w:rPr>
          <w:color w:val="auto"/>
          <w:sz w:val="24"/>
        </w:rPr>
        <w:t>生猪名牌产品培育趋势:柱状图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13年27个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14年34个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15年36个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16年40个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17年42个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(</w:t>
      </w:r>
      <w:r>
        <w:rPr>
          <w:color w:val="auto"/>
          <w:sz w:val="24"/>
        </w:rPr>
        <w:t>4)</w:t>
      </w:r>
      <w:r>
        <w:rPr>
          <w:rFonts w:hint="eastAsia"/>
          <w:color w:val="auto"/>
          <w:sz w:val="24"/>
        </w:rPr>
        <w:t xml:space="preserve"> 生猪品牌产品销售额:柱状列表</w:t>
      </w:r>
    </w:p>
    <w:p>
      <w:pPr>
        <w:rPr>
          <w:color w:val="auto"/>
        </w:rPr>
      </w:pPr>
      <w:r>
        <w:rPr>
          <w:rFonts w:hint="eastAsia"/>
          <w:color w:val="auto"/>
          <w:sz w:val="24"/>
        </w:rPr>
        <w:t>（单位：万元）</w:t>
      </w:r>
      <w:r>
        <w:rPr>
          <w:color w:val="auto"/>
          <w:sz w:val="24"/>
        </w:rPr>
        <w:fldChar w:fldCharType="begin"/>
      </w:r>
      <w:r>
        <w:rPr>
          <w:color w:val="auto"/>
          <w:sz w:val="24"/>
        </w:rPr>
        <w:instrText xml:space="preserve"> LINK Excel.Sheet.12 "C:\\Users\\User\\Documents\\tencent files\\917662467\\filerecv\\2017(1)(已自动还原) (version 1).xlsb(8).xlsx" Sheet10!R1C1:R20C2 \a \f 5 \h  \* MERGEFORMAT </w:instrText>
      </w:r>
      <w:r>
        <w:rPr>
          <w:color w:val="auto"/>
          <w:sz w:val="24"/>
        </w:rPr>
        <w:fldChar w:fldCharType="separate"/>
      </w:r>
    </w:p>
    <w:tbl>
      <w:tblPr>
        <w:tblStyle w:val="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广东华农温氏畜牧股份有限公司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600019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广东壹号食品股份有限公司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139647.3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东瑞食品集团股份有限公司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50517.59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深圳市金丰康肉类食品有限公司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43423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广东安康实业有限公司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35286.4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惠东县东进保鲜肉类有限公司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35022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深圳市农牧实业有限公司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31191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深圳润民现代生态农业发展有限公司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27452.21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中山市白石猪场有限公司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22784.6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524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台山市长江食品有限公司</w:t>
            </w:r>
          </w:p>
        </w:tc>
        <w:tc>
          <w:tcPr>
            <w:tcW w:w="2976" w:type="dxa"/>
            <w:noWrap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18295</w:t>
            </w:r>
          </w:p>
        </w:tc>
      </w:tr>
    </w:tbl>
    <w:p>
      <w:pPr>
        <w:rPr>
          <w:color w:val="auto"/>
          <w:sz w:val="24"/>
        </w:rPr>
      </w:pPr>
      <w:r>
        <w:rPr>
          <w:color w:val="auto"/>
          <w:sz w:val="24"/>
        </w:rPr>
        <w:fldChar w:fldCharType="end"/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3、生猪科技</w:t>
      </w:r>
    </w:p>
    <w:p>
      <w:pPr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主推品种3个，主推技术10项</w:t>
      </w:r>
    </w:p>
    <w:p>
      <w:pPr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生猪龙头企业-研发投入（1.9亿元）、专利数（83项）、科技奖励荣誉（28项）、科技人员（609人）、研发机构（38个）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地图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4、地市色块：龙头企业数量（1、2、3、4及以上，四个层级各一种颜色，0用底色）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1381125" cy="3629025"/>
            <wp:effectExtent l="0" t="0" r="9525" b="9525"/>
            <wp:docPr id="1" name="图片 1" descr="C:\Users\User\Documents\Tencent Files\917662467\Image\C2C\8T62NIW~}UI2(F8I_9PEN[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Documents\Tencent Files\917662467\Image\C2C\8T62NIW~}UI2(F8I_9PEN[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  <w:sz w:val="24"/>
        </w:rPr>
      </w:pPr>
    </w:p>
    <w:p>
      <w:pPr>
        <w:rPr>
          <w:color w:val="auto"/>
        </w:rPr>
      </w:pPr>
      <w:r>
        <w:rPr>
          <w:rFonts w:hint="eastAsia"/>
          <w:color w:val="auto"/>
          <w:sz w:val="24"/>
        </w:rPr>
        <w:t>地图标题及各地市框内数量：生猪品牌分布</w:t>
      </w:r>
      <w:r>
        <w:rPr>
          <w:color w:val="auto"/>
        </w:rPr>
        <w:fldChar w:fldCharType="begin"/>
      </w:r>
      <w:r>
        <w:rPr>
          <w:color w:val="auto"/>
        </w:rPr>
        <w:instrText xml:space="preserve"> LINK Excel.Sheet.8 G:\\2018年1432个经营专用品牌产品名单.xls Sheet4!R1C1:R16C2 \a \f 4 \h  \* MERGEFORMAT </w:instrText>
      </w:r>
      <w:r>
        <w:rPr>
          <w:color w:val="auto"/>
        </w:rPr>
        <w:fldChar w:fldCharType="separate"/>
      </w:r>
    </w:p>
    <w:tbl>
      <w:tblPr>
        <w:tblStyle w:val="5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广州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深圳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珠海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汕头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佛山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韶关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河源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梅州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惠州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中山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江门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湛江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肇庆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清远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</w:rPr>
              <w:t>云浮</w:t>
            </w:r>
          </w:p>
        </w:tc>
      </w:tr>
    </w:tbl>
    <w:p>
      <w:pPr>
        <w:widowControl/>
        <w:ind w:firstLine="240" w:firstLineChars="100"/>
        <w:jc w:val="left"/>
        <w:rPr>
          <w:color w:val="auto"/>
          <w:sz w:val="24"/>
        </w:rPr>
      </w:pPr>
      <w:r>
        <w:rPr>
          <w:color w:val="auto"/>
          <w:sz w:val="24"/>
        </w:rPr>
        <w:fldChar w:fldCharType="end"/>
      </w:r>
    </w:p>
    <w:p>
      <w:pPr>
        <w:widowControl/>
        <w:jc w:val="left"/>
        <w:rPr>
          <w:color w:val="auto"/>
          <w:sz w:val="24"/>
        </w:rPr>
      </w:pPr>
      <w:r>
        <w:rPr>
          <w:color w:val="auto"/>
          <w:sz w:val="24"/>
        </w:rPr>
        <w:br w:type="page"/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六、生猪分布流域形势</w:t>
      </w:r>
    </w:p>
    <w:p>
      <w:pPr>
        <w:rPr>
          <w:color w:val="auto"/>
          <w:sz w:val="24"/>
          <w:highlight w:val="lightGray"/>
        </w:rPr>
      </w:pPr>
      <w:r>
        <w:rPr>
          <w:rFonts w:hint="eastAsia"/>
          <w:color w:val="auto"/>
          <w:sz w:val="24"/>
          <w:highlight w:val="lightGray"/>
        </w:rPr>
        <w:t>1、生猪养殖场数量</w:t>
      </w:r>
    </w:p>
    <w:p>
      <w:pPr>
        <w:rPr>
          <w:color w:val="auto"/>
          <w:sz w:val="24"/>
          <w:highlight w:val="lightGray"/>
        </w:rPr>
      </w:pPr>
      <w:r>
        <w:rPr>
          <w:rFonts w:hint="eastAsia"/>
          <w:color w:val="auto"/>
          <w:sz w:val="24"/>
          <w:highlight w:val="lightGray"/>
        </w:rPr>
        <w:t>2、生猪出栏量</w:t>
      </w:r>
    </w:p>
    <w:p>
      <w:pPr>
        <w:ind w:firstLine="420" w:firstLineChars="200"/>
        <w:rPr>
          <w:color w:val="auto"/>
          <w:sz w:val="24"/>
        </w:rPr>
      </w:pPr>
      <w:r>
        <w:rPr>
          <w:color w:val="auto"/>
          <w:highlight w:val="lightGra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888365</wp:posOffset>
            </wp:positionV>
            <wp:extent cx="5303520" cy="12954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24"/>
          <w:highlight w:val="lightGray"/>
        </w:rPr>
        <w:t>表格：50-</w:t>
      </w:r>
      <w:r>
        <w:rPr>
          <w:color w:val="auto"/>
          <w:sz w:val="24"/>
          <w:highlight w:val="lightGray"/>
        </w:rPr>
        <w:t>500头数量，500-999头数量，1000-4999头数量，5000-9999头数量，10000头以上数量，50000头以上数量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t>3、畜禽粪污综合利用率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4、雨污分流占比（按出栏量统计）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5、猪场废水处理设施配备率（按出栏量统计）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6、猪场废渣处理设施配备率（按出栏量统计）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7</w:t>
      </w:r>
      <w:r>
        <w:rPr>
          <w:color w:val="auto"/>
          <w:sz w:val="24"/>
        </w:rPr>
        <w:t>、化学需氧量（COD）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 xml:space="preserve">   柱状图，</w:t>
      </w:r>
      <w:r>
        <w:rPr>
          <w:rFonts w:hint="eastAsia"/>
          <w:color w:val="auto"/>
          <w:sz w:val="24"/>
        </w:rPr>
        <w:t>相关地市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8</w:t>
      </w:r>
      <w:r>
        <w:rPr>
          <w:color w:val="auto"/>
          <w:sz w:val="24"/>
        </w:rPr>
        <w:t>、氨氮（NH3-N）</w:t>
      </w:r>
    </w:p>
    <w:p>
      <w:pPr>
        <w:rPr>
          <w:rFonts w:hint="eastAsia"/>
          <w:color w:val="auto"/>
          <w:sz w:val="24"/>
        </w:rPr>
      </w:pPr>
      <w:r>
        <w:rPr>
          <w:color w:val="auto"/>
          <w:sz w:val="24"/>
        </w:rPr>
        <w:t xml:space="preserve">   柱状图，相关地市</w:t>
      </w:r>
      <w:r>
        <w:rPr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274310" cy="2893695"/>
            <wp:effectExtent l="0" t="0" r="254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9、生猪养殖场分布图：地图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第一层：广东主要流域，在广东地图勾出流域大致范围，地图上只要标注西江、北江、东江和养殖场个数量，不要标注地市名称</w:t>
      </w:r>
    </w:p>
    <w:p>
      <w:pPr>
        <w:rPr>
          <w:color w:val="auto"/>
          <w:sz w:val="24"/>
        </w:rPr>
      </w:pPr>
      <w:r>
        <w:rPr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810760" cy="3067685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24"/>
        </w:rPr>
        <w:t>第二层：西江、北江、东江，用热力图，在流域标注2</w:t>
      </w:r>
      <w:r>
        <w:rPr>
          <w:color w:val="auto"/>
          <w:sz w:val="24"/>
        </w:rPr>
        <w:t>KM</w:t>
      </w:r>
      <w:r>
        <w:rPr>
          <w:rFonts w:hint="eastAsia"/>
          <w:color w:val="auto"/>
          <w:sz w:val="24"/>
        </w:rPr>
        <w:t>的猪场</w:t>
      </w:r>
    </w:p>
    <w:p>
      <w:pPr>
        <w:rPr>
          <w:rFonts w:hint="eastAsia"/>
          <w:color w:val="auto"/>
          <w:sz w:val="24"/>
        </w:rPr>
      </w:pPr>
    </w:p>
    <w:p>
      <w:pPr>
        <w:widowControl/>
        <w:jc w:val="left"/>
        <w:rPr>
          <w:b/>
          <w:color w:val="auto"/>
          <w:sz w:val="24"/>
        </w:rPr>
      </w:pP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七、生猪企业发展形势（用温氏数据）</w:t>
      </w:r>
    </w:p>
    <w:p>
      <w:pPr>
        <w:rPr>
          <w:color w:val="auto"/>
          <w:sz w:val="24"/>
          <w:highlight w:val="lightGray"/>
        </w:rPr>
      </w:pPr>
      <w:r>
        <w:rPr>
          <w:rFonts w:hint="eastAsia"/>
          <w:color w:val="auto"/>
          <w:sz w:val="24"/>
          <w:highlight w:val="lightGray"/>
        </w:rPr>
        <w:t>1、生猪养殖场数量</w:t>
      </w:r>
    </w:p>
    <w:p>
      <w:pPr>
        <w:rPr>
          <w:color w:val="auto"/>
          <w:sz w:val="24"/>
          <w:highlight w:val="lightGray"/>
        </w:rPr>
      </w:pPr>
      <w:r>
        <w:rPr>
          <w:rFonts w:hint="eastAsia"/>
          <w:color w:val="auto"/>
          <w:sz w:val="24"/>
          <w:highlight w:val="lightGray"/>
        </w:rPr>
        <w:t>2、生猪出栏量</w:t>
      </w:r>
    </w:p>
    <w:p>
      <w:pPr>
        <w:ind w:firstLine="420" w:firstLineChars="200"/>
        <w:rPr>
          <w:color w:val="auto"/>
          <w:sz w:val="24"/>
        </w:rPr>
      </w:pPr>
      <w:r>
        <w:rPr>
          <w:color w:val="auto"/>
          <w:highlight w:val="lightGray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888365</wp:posOffset>
            </wp:positionV>
            <wp:extent cx="5303520" cy="12954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24"/>
          <w:highlight w:val="lightGray"/>
        </w:rPr>
        <w:t>表格：50-</w:t>
      </w:r>
      <w:r>
        <w:rPr>
          <w:color w:val="auto"/>
          <w:sz w:val="24"/>
          <w:highlight w:val="lightGray"/>
        </w:rPr>
        <w:t>500头数量，500-999头数量，1000-4999头数量，5000-9999头数量，10000头以上数量，50000头以上数量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t>3、畜禽粪污综合利用率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4、雨污分流占比（按出栏量统计）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5、猪场废水</w:t>
      </w:r>
      <w:r>
        <w:rPr>
          <w:rFonts w:hint="eastAsia"/>
          <w:color w:val="auto"/>
          <w:sz w:val="24"/>
        </w:rPr>
        <w:t>处理</w:t>
      </w:r>
      <w:r>
        <w:rPr>
          <w:color w:val="auto"/>
          <w:sz w:val="24"/>
        </w:rPr>
        <w:t>设施配备率（按出栏量统计）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6、猪场废渣</w:t>
      </w:r>
      <w:r>
        <w:rPr>
          <w:rFonts w:hint="eastAsia"/>
          <w:color w:val="auto"/>
          <w:sz w:val="24"/>
        </w:rPr>
        <w:t>处理</w:t>
      </w:r>
      <w:r>
        <w:rPr>
          <w:color w:val="auto"/>
          <w:sz w:val="24"/>
        </w:rPr>
        <w:t>设施配备率（按出栏量统计）</w:t>
      </w:r>
    </w:p>
    <w:p>
      <w:pPr>
        <w:rPr>
          <w:rFonts w:hint="eastAsia"/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7</w:t>
      </w:r>
      <w:r>
        <w:rPr>
          <w:color w:val="auto"/>
          <w:sz w:val="24"/>
        </w:rPr>
        <w:t>、化学需氧量（COD）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 xml:space="preserve">   柱状图，</w:t>
      </w:r>
      <w:r>
        <w:rPr>
          <w:rFonts w:hint="eastAsia"/>
          <w:color w:val="auto"/>
          <w:sz w:val="24"/>
        </w:rPr>
        <w:t>相关地市</w:t>
      </w: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8</w:t>
      </w:r>
      <w:r>
        <w:rPr>
          <w:color w:val="auto"/>
          <w:sz w:val="24"/>
        </w:rPr>
        <w:t>、氨氮（NH3-N）</w:t>
      </w:r>
    </w:p>
    <w:p>
      <w:pPr>
        <w:rPr>
          <w:rFonts w:hint="eastAsia"/>
          <w:color w:val="auto"/>
          <w:sz w:val="24"/>
        </w:rPr>
      </w:pPr>
      <w:r>
        <w:rPr>
          <w:color w:val="auto"/>
          <w:sz w:val="24"/>
        </w:rPr>
        <w:t xml:space="preserve">   柱状图，相关地市</w:t>
      </w:r>
      <w:r>
        <w:rPr>
          <w:color w:val="aut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274310" cy="2893695"/>
            <wp:effectExtent l="0" t="0" r="2540" b="19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auto"/>
          <w:sz w:val="24"/>
        </w:rPr>
      </w:pPr>
    </w:p>
    <w:p>
      <w:pPr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9、温氏生猪出栏量分布图：地图，省市县三级（类似供需形势的地图）</w:t>
      </w:r>
    </w:p>
    <w:sectPr>
      <w:pgSz w:w="11906" w:h="16838"/>
      <w:pgMar w:top="284" w:right="1800" w:bottom="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A54E"/>
    <w:multiLevelType w:val="singleLevel"/>
    <w:tmpl w:val="0A2EA54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915E8A"/>
    <w:multiLevelType w:val="singleLevel"/>
    <w:tmpl w:val="6C915E8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E0"/>
    <w:rsid w:val="000619EE"/>
    <w:rsid w:val="00071A5A"/>
    <w:rsid w:val="000B7579"/>
    <w:rsid w:val="00173B03"/>
    <w:rsid w:val="00187631"/>
    <w:rsid w:val="001C311F"/>
    <w:rsid w:val="001F2DEA"/>
    <w:rsid w:val="002323E0"/>
    <w:rsid w:val="00241126"/>
    <w:rsid w:val="0025478D"/>
    <w:rsid w:val="002A56F7"/>
    <w:rsid w:val="002B4D26"/>
    <w:rsid w:val="002D57FF"/>
    <w:rsid w:val="002F3A0A"/>
    <w:rsid w:val="002F3A43"/>
    <w:rsid w:val="003023AB"/>
    <w:rsid w:val="00357925"/>
    <w:rsid w:val="003D3574"/>
    <w:rsid w:val="003E0243"/>
    <w:rsid w:val="0043714B"/>
    <w:rsid w:val="00447CA4"/>
    <w:rsid w:val="004A1C99"/>
    <w:rsid w:val="004A5253"/>
    <w:rsid w:val="004A742F"/>
    <w:rsid w:val="004C2803"/>
    <w:rsid w:val="004E03BE"/>
    <w:rsid w:val="004E1FD0"/>
    <w:rsid w:val="0051653D"/>
    <w:rsid w:val="005A765C"/>
    <w:rsid w:val="005E10FB"/>
    <w:rsid w:val="0060677E"/>
    <w:rsid w:val="00637CC8"/>
    <w:rsid w:val="0065131F"/>
    <w:rsid w:val="00670035"/>
    <w:rsid w:val="006C408E"/>
    <w:rsid w:val="006F3DCD"/>
    <w:rsid w:val="007073F0"/>
    <w:rsid w:val="007334DE"/>
    <w:rsid w:val="007421C8"/>
    <w:rsid w:val="008436E7"/>
    <w:rsid w:val="0085196B"/>
    <w:rsid w:val="008654C6"/>
    <w:rsid w:val="00880170"/>
    <w:rsid w:val="00897661"/>
    <w:rsid w:val="00921D5F"/>
    <w:rsid w:val="00930626"/>
    <w:rsid w:val="00940A25"/>
    <w:rsid w:val="00A37531"/>
    <w:rsid w:val="00A41E9B"/>
    <w:rsid w:val="00AC62BF"/>
    <w:rsid w:val="00B228C7"/>
    <w:rsid w:val="00B25F5A"/>
    <w:rsid w:val="00B90CCA"/>
    <w:rsid w:val="00BB21DE"/>
    <w:rsid w:val="00BB32E0"/>
    <w:rsid w:val="00BE1280"/>
    <w:rsid w:val="00C0122F"/>
    <w:rsid w:val="00C5478B"/>
    <w:rsid w:val="00C54E35"/>
    <w:rsid w:val="00C83AE7"/>
    <w:rsid w:val="00D11DB1"/>
    <w:rsid w:val="00D16619"/>
    <w:rsid w:val="00D46E07"/>
    <w:rsid w:val="00D8102E"/>
    <w:rsid w:val="00DB0874"/>
    <w:rsid w:val="00DB503D"/>
    <w:rsid w:val="00DD4DAC"/>
    <w:rsid w:val="00EA666F"/>
    <w:rsid w:val="00EE0286"/>
    <w:rsid w:val="00F03351"/>
    <w:rsid w:val="00F0532F"/>
    <w:rsid w:val="00F121C7"/>
    <w:rsid w:val="00F246CA"/>
    <w:rsid w:val="00F24C39"/>
    <w:rsid w:val="00F3112B"/>
    <w:rsid w:val="00F504AC"/>
    <w:rsid w:val="00F8403E"/>
    <w:rsid w:val="00FB4F3A"/>
    <w:rsid w:val="199A4B16"/>
    <w:rsid w:val="48C12D8B"/>
    <w:rsid w:val="536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415</Words>
  <Characters>2368</Characters>
  <Lines>19</Lines>
  <Paragraphs>5</Paragraphs>
  <TotalTime>1</TotalTime>
  <ScaleCrop>false</ScaleCrop>
  <LinksUpToDate>false</LinksUpToDate>
  <CharactersWithSpaces>2778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2018-06-22T12:38:00Z</dcterms:created>
  <dc:creator>Cheng Alex</dc:creator>
  <cp:lastModifiedBy>Administrator</cp:lastModifiedBy>
  <dcterms:modified xsi:type="dcterms:W3CDTF">2019-10-30T06:18:41Z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