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80" w:before="200"/>
        <w:jc w:val="center"/>
      </w:pPr>
      <w:r>
        <w:rPr>
          <w:b/>
          <w:bCs/>
          <w:color w:val="071D41"/>
          <w:sz w:val="64"/>
          <w:szCs w:val="64"/>
        </w:rPr>
        <w:t xml:space="preserve">SisCalib</w:t>
      </w:r>
    </w:p>
    <w:p>
      <w:pPr>
        <w:spacing w:after="40"/>
        <w:jc w:val="center"/>
      </w:pPr>
      <w:r>
        <w:rPr>
          <w:color w:val="1351B4"/>
          <w:sz w:val="36"/>
          <w:szCs w:val="36"/>
        </w:rPr>
        <w:t xml:space="preserve">Sistema de Gestão Metrológica</w:t>
      </w:r>
    </w:p>
    <w:p>
      <w:pPr>
        <w:spacing w:after="600"/>
        <w:jc w:val="center"/>
      </w:pPr>
      <w:r>
        <w:rPr>
          <w:color w:val="555555"/>
          <w:sz w:val="28"/>
          <w:szCs w:val="28"/>
        </w:rPr>
        <w:t xml:space="preserve">Manual do Usuário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CMASM-132  ·  Marinha do Brasil</w:t>
      </w:r>
    </w:p>
    <w:p>
      <w:pPr>
        <w:jc w:val="center"/>
      </w:pPr>
      <w:r>
        <w:rPr>
          <w:color w:val="555555"/>
          <w:sz w:val="20"/>
          <w:szCs w:val="20"/>
        </w:rPr>
        <w:t xml:space="preserve">Versão 1.0  ·  Julho 2026</w:t>
      </w:r>
    </w:p>
    <w:p>
      <w:r>
        <w:br w:type="page"/>
      </w:r>
    </w:p>
    <w:p>
      <w:pPr>
        <w:shd w:fill="071D41" w:val="clear"/>
        <w:spacing w:after="200" w:before="400"/>
        <w:ind w:left="1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1. Introdução</w:t>
      </w:r>
    </w:p>
    <w:p>
      <w:pPr>
        <w:spacing w:after="80" w:before="80"/>
        <w:jc w:val="both"/>
      </w:pPr>
      <w:r>
        <w:rPr>
          <w:color w:val="555555"/>
          <w:sz w:val="22"/>
          <w:szCs w:val="22"/>
        </w:rPr>
        <w:t xml:space="preserve">O SisCalib é o sistema de gestão metrológica do CMASM-132, desenvolvido para controlar o inventário de instrumentos de medição, histórico de calibrações, laboratórios acreditados e contratos/ATAs de calibração.</w:t>
      </w:r>
    </w:p>
    <w:p>
      <w:pPr>
        <w:pBdr>
          <w:bottom w:val="single" w:color="F0F0F0" w:sz="6"/>
        </w:pBdr>
        <w:spacing w:after="160" w:before="160"/>
      </w:pPr>
    </w:p>
    <w:p>
      <w:pPr>
        <w:pBdr>
          <w:bottom w:val="single" w:color="1351B4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351B4"/>
          <w:sz w:val="26"/>
          <w:szCs w:val="26"/>
        </w:rPr>
        <w:t xml:space="preserve">1.1 Funcionalidades Principais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000"/>
      </w:tblGrid>
      <w:tr>
        <w:tc>
          <w:tcPr>
            <w:tcW w:type="dxa" w:w="3000"/>
            <w:shd w:fill="071D41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6000"/>
            <w:shd w:fill="071D41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Inventário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Cadastro e busca de ~500 instrumentos com filtros, exportação e etiquetas QR.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Calibrações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Histórico por instrumento, upload de certificado PDF, controle de validade e status.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Laboratórios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Cadastro, acreditação RBC/CGCRE, alertas de vencimento.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Contratos/ATAs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Gerenciamento de contratos, itens e saldo disponível por item.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Catálogo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Visão consolidada de preços e saldos por laboratório.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Alertas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Instrumentos vencidos/a vencer, acreditações e contratos expirando.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Importação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Upload de CSV para cadastro em massa do inventário.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Exportação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PDF, XLS e CSV do inventário filtrado.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Acesso público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Ficha do instrumento por QR code e painel por setor (sem login).</w:t>
            </w:r>
          </w:p>
        </w:tc>
      </w:tr>
    </w:tbl>
    <w:p>
      <w:pPr>
        <w:pBdr>
          <w:bottom w:val="single" w:color="F0F0F0" w:sz="6"/>
        </w:pBdr>
        <w:spacing w:after="160" w:before="160"/>
      </w:pPr>
    </w:p>
    <w:p>
      <w:pPr>
        <w:pBdr>
          <w:bottom w:val="single" w:color="1351B4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351B4"/>
          <w:sz w:val="26"/>
          <w:szCs w:val="26"/>
        </w:rPr>
        <w:t xml:space="preserve">1.2 Acesso</w:t>
      </w:r>
    </w:p>
    <w:p>
      <w:pPr>
        <w:spacing w:after="80" w:before="80"/>
        <w:jc w:val="both"/>
      </w:pPr>
      <w:r>
        <w:rPr>
          <w:color w:val="555555"/>
          <w:sz w:val="22"/>
          <w:szCs w:val="22"/>
        </w:rPr>
        <w:t xml:space="preserve">O sistema é acessado via navegador web. URL de produção:</w:t>
      </w:r>
    </w:p>
    <w:p>
      <w:pPr>
        <w:spacing w:after="80" w:before="80"/>
        <w:ind w:left="360"/>
      </w:pPr>
      <w:r>
        <w:rPr>
          <w:b/>
          <w:bCs/>
          <w:color w:val="1351B4"/>
          <w:sz w:val="22"/>
          <w:szCs w:val="22"/>
        </w:rPr>
        <w:t xml:space="preserve">https://siscalib-cmasm.onrender.com</w:t>
      </w:r>
    </w:p>
    <w:p>
      <w:pPr>
        <w:pBdr>
          <w:left w:val="single" w:color="1351B4" w:sz="12"/>
        </w:pBdr>
        <w:shd w:fill="EFF6FB" w:val="clear"/>
        <w:spacing w:after="120" w:before="120"/>
        <w:ind w:left="360" w:right="360"/>
      </w:pPr>
      <w:r>
        <w:rPr>
          <w:b/>
          <w:bCs/>
          <w:color w:val="1351B4"/>
          <w:sz w:val="20"/>
          <w:szCs w:val="20"/>
        </w:rPr>
        <w:t xml:space="preserve">NOTA: </w:t>
      </w:r>
      <w:r>
        <w:rPr>
          <w:color w:val="555555"/>
          <w:sz w:val="20"/>
          <w:szCs w:val="20"/>
        </w:rPr>
        <w:t xml:space="preserve">No plano gratuito do Render.com, o sistema hiberna após 15 minutos sem uso. O primeiro acesso após hibernação pode demorar até 30 segundos.</w:t>
      </w:r>
    </w:p>
    <w:p>
      <w:r>
        <w:br w:type="page"/>
      </w:r>
    </w:p>
    <w:p>
      <w:pPr>
        <w:shd w:fill="071D41" w:val="clear"/>
        <w:spacing w:after="200" w:before="400"/>
        <w:ind w:left="1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2. Inventário de Instrumentos</w:t>
      </w:r>
    </w:p>
    <w:p>
      <w:pPr>
        <w:spacing w:after="80" w:before="80"/>
        <w:jc w:val="both"/>
      </w:pPr>
      <w:r>
        <w:rPr>
          <w:color w:val="555555"/>
          <w:sz w:val="22"/>
          <w:szCs w:val="22"/>
        </w:rPr>
        <w:t xml:space="preserve">O inventário lista todos os instrumentos cadastrados. Acesse pelo menu lateral em "Instrumentos".</w:t>
      </w:r>
    </w:p>
    <w:p>
      <w:pPr>
        <w:pBdr>
          <w:bottom w:val="single" w:color="F0F0F0" w:sz="6"/>
        </w:pBdr>
        <w:spacing w:after="160" w:before="160"/>
      </w:pPr>
    </w:p>
    <w:p>
      <w:pPr>
        <w:pBdr>
          <w:bottom w:val="single" w:color="1351B4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351B4"/>
          <w:sz w:val="26"/>
          <w:szCs w:val="26"/>
        </w:rPr>
        <w:t xml:space="preserve">2.1 Cadastrar Novo Instrumento</w:t>
      </w:r>
    </w:p>
    <w:p>
      <w:pPr>
        <w:pStyle w:val="ListParagraph"/>
        <w:numPr>
          <w:ilvl w:val="0"/>
          <w:numId w:val="1"/>
        </w:numPr>
        <w:spacing w:after="60" w:before="60"/>
        <w:ind w:left="576"/>
      </w:pPr>
      <w:r>
        <w:rPr>
          <w:color w:val="555555"/>
          <w:sz w:val="22"/>
          <w:szCs w:val="22"/>
        </w:rPr>
        <w:t xml:space="preserve">1. Clique em "Novo Instrumento" (botão verde no topo da lista)</w:t>
      </w:r>
    </w:p>
    <w:p>
      <w:pPr>
        <w:pStyle w:val="ListParagraph"/>
        <w:numPr>
          <w:ilvl w:val="0"/>
          <w:numId w:val="1"/>
        </w:numPr>
        <w:spacing w:after="60" w:before="60"/>
        <w:ind w:left="576"/>
      </w:pPr>
      <w:r>
        <w:rPr>
          <w:color w:val="555555"/>
          <w:sz w:val="22"/>
          <w:szCs w:val="22"/>
        </w:rPr>
        <w:t xml:space="preserve">2. Preencha os campos obrigatórios: TAG, Descrição, Setor, Grandeza e Unidade</w:t>
      </w:r>
    </w:p>
    <w:p>
      <w:pPr>
        <w:pStyle w:val="ListParagraph"/>
        <w:numPr>
          <w:ilvl w:val="0"/>
          <w:numId w:val="1"/>
        </w:numPr>
        <w:spacing w:after="60" w:before="60"/>
        <w:ind w:left="576"/>
      </w:pPr>
      <w:r>
        <w:rPr>
          <w:color w:val="555555"/>
          <w:sz w:val="22"/>
          <w:szCs w:val="22"/>
        </w:rPr>
        <w:t xml:space="preserve">3. Informe os dados metrológicos: Faixa (min/max), Resolução/EMP</w:t>
      </w:r>
    </w:p>
    <w:p>
      <w:pPr>
        <w:pStyle w:val="ListParagraph"/>
        <w:numPr>
          <w:ilvl w:val="0"/>
          <w:numId w:val="1"/>
        </w:numPr>
        <w:spacing w:after="60" w:before="60"/>
        <w:ind w:left="576"/>
      </w:pPr>
      <w:r>
        <w:rPr>
          <w:color w:val="555555"/>
          <w:sz w:val="22"/>
          <w:szCs w:val="22"/>
        </w:rPr>
        <w:t xml:space="preserve">4. Defina os fatores do IGP (Índice Global de Prioridade): 1 a 3 em cada fator</w:t>
      </w:r>
    </w:p>
    <w:p>
      <w:pPr>
        <w:pStyle w:val="ListParagraph"/>
        <w:numPr>
          <w:ilvl w:val="0"/>
          <w:numId w:val="1"/>
        </w:numPr>
        <w:spacing w:after="60" w:before="60"/>
        <w:ind w:left="576"/>
      </w:pPr>
      <w:r>
        <w:rPr>
          <w:color w:val="555555"/>
          <w:sz w:val="22"/>
          <w:szCs w:val="22"/>
        </w:rPr>
        <w:t xml:space="preserve">5. Clique em "Salvar"</w:t>
      </w:r>
    </w:p>
    <w:p>
      <w:pPr>
        <w:spacing w:before="120"/>
      </w:pPr>
    </w:p>
    <w:p>
      <w:pPr>
        <w:spacing w:after="80" w:before="200"/>
      </w:pPr>
      <w:r>
        <w:rPr>
          <w:b/>
          <w:bCs/>
          <w:color w:val="1351B4"/>
          <w:sz w:val="22"/>
          <w:szCs w:val="22"/>
        </w:rPr>
        <w:t xml:space="preserve">Campos do cadastro: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00"/>
        <w:gridCol w:w="5500"/>
      </w:tblGrid>
      <w:tr>
        <w:tc>
          <w:tcPr>
            <w:tcW w:type="dxa" w:w="3500"/>
            <w:shd w:fill="071D41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500"/>
            <w:shd w:fill="071D41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TAG *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Identificador único do instrumento (ex: TAG-001). Não pode ser repetido.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Descrição *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Descrição completa do instrumento.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Fabricante / Modelo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Dados do fabricante e modelo do equipamento.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N° de Série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Número de série gravado no instrumento.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Patrimônio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Número de patrimônio institucional.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Setor *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Setor ou localização física (ex: Lab Metrologia, Oficina Eletrônica).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Família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Família metrológica conforme RBC/INMETRO.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Grandeza *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Grandeza medida (Temperatura, Pressão, Elétrica, etc.).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Unidade *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Unidade de medida (°C, bar, V, etc.).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Faixa Min / Max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Faixa de medição do instrumento.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Resolução / EMP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Resolução ou Erro Máximo Permitido.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IGP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Índice Global de Prioridade — 5 fatores de 1 a 3.</w:t>
            </w:r>
          </w:p>
        </w:tc>
      </w:tr>
    </w:tbl>
    <w:p>
      <w:pPr>
        <w:pBdr>
          <w:left w:val="single" w:color="1351B4" w:sz="12"/>
        </w:pBdr>
        <w:shd w:fill="EFF6FB" w:val="clear"/>
        <w:spacing w:after="120" w:before="120"/>
        <w:ind w:left="360" w:right="360"/>
      </w:pPr>
      <w:r>
        <w:rPr>
          <w:b/>
          <w:bCs/>
          <w:color w:val="1351B4"/>
          <w:sz w:val="20"/>
          <w:szCs w:val="20"/>
        </w:rPr>
        <w:t xml:space="preserve">NOTA: </w:t>
      </w:r>
      <w:r>
        <w:rPr>
          <w:color w:val="555555"/>
          <w:sz w:val="20"/>
          <w:szCs w:val="20"/>
        </w:rPr>
        <w:t xml:space="preserve">O IGP (Índice Global de Prioridade) é calculado automaticamente com base nos 5 fatores. Instrumentos com IGP alto aparecem priorizados nos alertas.</w:t>
      </w:r>
    </w:p>
    <w:p>
      <w:pPr>
        <w:pBdr>
          <w:bottom w:val="single" w:color="F0F0F0" w:sz="6"/>
        </w:pBdr>
        <w:spacing w:after="160" w:before="160"/>
      </w:pPr>
    </w:p>
    <w:p>
      <w:pPr>
        <w:pBdr>
          <w:bottom w:val="single" w:color="1351B4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351B4"/>
          <w:sz w:val="26"/>
          <w:szCs w:val="26"/>
        </w:rPr>
        <w:t xml:space="preserve">2.2 Buscar e Filtrar</w:t>
      </w:r>
    </w:p>
    <w:p>
      <w:pPr>
        <w:spacing w:after="80" w:before="80"/>
        <w:jc w:val="both"/>
      </w:pPr>
      <w:r>
        <w:rPr>
          <w:color w:val="555555"/>
          <w:sz w:val="22"/>
          <w:szCs w:val="22"/>
        </w:rPr>
        <w:t xml:space="preserve">Use a barra de busca no topo da lista para pesquisar por TAG, descrição, setor ou fabricante. Os filtros disponíveis são:</w:t>
      </w:r>
    </w:p>
    <w:p>
      <w:pPr>
        <w:pStyle w:val="ListParagraph"/>
        <w:numPr>
          <w:ilvl w:val="0"/>
          <w:numId w:val="1"/>
        </w:numPr>
        <w:spacing w:after="60" w:before="60"/>
        <w:ind w:left="576"/>
      </w:pPr>
      <w:r>
        <w:rPr>
          <w:color w:val="555555"/>
          <w:sz w:val="22"/>
          <w:szCs w:val="22"/>
        </w:rPr>
        <w:t xml:space="preserve">Setor: filtra por localização</w:t>
      </w:r>
    </w:p>
    <w:p>
      <w:pPr>
        <w:pStyle w:val="ListParagraph"/>
        <w:numPr>
          <w:ilvl w:val="0"/>
          <w:numId w:val="1"/>
        </w:numPr>
        <w:spacing w:after="60" w:before="60"/>
        <w:ind w:left="576"/>
      </w:pPr>
      <w:r>
        <w:rPr>
          <w:color w:val="555555"/>
          <w:sz w:val="22"/>
          <w:szCs w:val="22"/>
        </w:rPr>
        <w:t xml:space="preserve">Grandeza: filtra por tipo de medição</w:t>
      </w:r>
    </w:p>
    <w:p>
      <w:pPr>
        <w:pStyle w:val="ListParagraph"/>
        <w:numPr>
          <w:ilvl w:val="0"/>
          <w:numId w:val="1"/>
        </w:numPr>
        <w:spacing w:after="60" w:before="60"/>
        <w:ind w:left="576"/>
      </w:pPr>
      <w:r>
        <w:rPr>
          <w:color w:val="555555"/>
          <w:sz w:val="22"/>
          <w:szCs w:val="22"/>
        </w:rPr>
        <w:t xml:space="preserve">Status de calibração: Válido / Vencido / A vencer / Sem calibração</w:t>
      </w:r>
    </w:p>
    <w:p>
      <w:pPr>
        <w:pStyle w:val="ListParagraph"/>
        <w:numPr>
          <w:ilvl w:val="0"/>
          <w:numId w:val="1"/>
        </w:numPr>
        <w:spacing w:after="60" w:before="60"/>
        <w:ind w:left="576"/>
      </w:pPr>
      <w:r>
        <w:rPr>
          <w:color w:val="555555"/>
          <w:sz w:val="22"/>
          <w:szCs w:val="22"/>
        </w:rPr>
        <w:t xml:space="preserve">Ativo: mostra apenas instrumentos ativos</w:t>
      </w:r>
    </w:p>
    <w:p>
      <w:pPr>
        <w:pBdr>
          <w:bottom w:val="single" w:color="F0F0F0" w:sz="6"/>
        </w:pBdr>
        <w:spacing w:after="160" w:before="160"/>
      </w:pPr>
    </w:p>
    <w:p>
      <w:pPr>
        <w:pBdr>
          <w:bottom w:val="single" w:color="1351B4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351B4"/>
          <w:sz w:val="26"/>
          <w:szCs w:val="26"/>
        </w:rPr>
        <w:t xml:space="preserve">2.3 Etiqueta QR</w:t>
      </w:r>
    </w:p>
    <w:p>
      <w:pPr>
        <w:spacing w:after="80" w:before="80"/>
        <w:jc w:val="both"/>
      </w:pPr>
      <w:r>
        <w:rPr>
          <w:color w:val="555555"/>
          <w:sz w:val="22"/>
          <w:szCs w:val="22"/>
        </w:rPr>
        <w:t xml:space="preserve">Cada instrumento possui uma etiqueta QR que pode ser impressa. O QR redireciona para a página pública da ficha do instrumento (sem necessidade de login).</w:t>
      </w:r>
    </w:p>
    <w:p>
      <w:pPr>
        <w:pStyle w:val="ListParagraph"/>
        <w:numPr>
          <w:ilvl w:val="0"/>
          <w:numId w:val="1"/>
        </w:numPr>
        <w:spacing w:after="60" w:before="60"/>
        <w:ind w:left="576"/>
      </w:pPr>
      <w:r>
        <w:rPr>
          <w:color w:val="555555"/>
          <w:sz w:val="22"/>
          <w:szCs w:val="22"/>
        </w:rPr>
        <w:t xml:space="preserve">1. Abra o instrumento desejado</w:t>
      </w:r>
    </w:p>
    <w:p>
      <w:pPr>
        <w:pStyle w:val="ListParagraph"/>
        <w:numPr>
          <w:ilvl w:val="0"/>
          <w:numId w:val="1"/>
        </w:numPr>
        <w:spacing w:after="60" w:before="60"/>
        <w:ind w:left="576"/>
      </w:pPr>
      <w:r>
        <w:rPr>
          <w:color w:val="555555"/>
          <w:sz w:val="22"/>
          <w:szCs w:val="22"/>
        </w:rPr>
        <w:t xml:space="preserve">2. Clique em "Etiqueta QR"</w:t>
      </w:r>
    </w:p>
    <w:p>
      <w:pPr>
        <w:pStyle w:val="ListParagraph"/>
        <w:numPr>
          <w:ilvl w:val="0"/>
          <w:numId w:val="1"/>
        </w:numPr>
        <w:spacing w:after="60" w:before="60"/>
        <w:ind w:left="576"/>
      </w:pPr>
      <w:r>
        <w:rPr>
          <w:color w:val="555555"/>
          <w:sz w:val="22"/>
          <w:szCs w:val="22"/>
        </w:rPr>
        <w:t xml:space="preserve">3. Imprima ou salve em PDF (Ctrl+P)</w:t>
      </w:r>
    </w:p>
    <w:p>
      <w:pPr>
        <w:pBdr>
          <w:bottom w:val="single" w:color="F0F0F0" w:sz="6"/>
        </w:pBdr>
        <w:spacing w:after="160" w:before="160"/>
      </w:pPr>
    </w:p>
    <w:p>
      <w:pPr>
        <w:pBdr>
          <w:bottom w:val="single" w:color="1351B4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351B4"/>
          <w:sz w:val="26"/>
          <w:szCs w:val="26"/>
        </w:rPr>
        <w:t xml:space="preserve">2.4 Exportar</w:t>
      </w:r>
    </w:p>
    <w:p>
      <w:pPr>
        <w:spacing w:after="80" w:before="80"/>
        <w:jc w:val="both"/>
      </w:pPr>
      <w:r>
        <w:rPr>
          <w:color w:val="555555"/>
          <w:sz w:val="22"/>
          <w:szCs w:val="22"/>
        </w:rPr>
        <w:t xml:space="preserve">O inventário pode ser exportado em três formatos: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000"/>
      </w:tblGrid>
      <w:tr>
        <w:tc>
          <w:tcPr>
            <w:tcW w:type="dxa" w:w="3000"/>
            <w:shd w:fill="071D41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6000"/>
            <w:shd w:fill="071D41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PDF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Relatório formatado para impressão e arquivo físico.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XLS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Planilha Excel para análise e edição.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CSV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Arquivo texto para importação em outros sistemas.</w:t>
            </w:r>
          </w:p>
        </w:tc>
      </w:tr>
    </w:tbl>
    <w:p>
      <w:pPr>
        <w:spacing w:after="80" w:before="80"/>
        <w:jc w:val="both"/>
      </w:pPr>
      <w:r>
        <w:rPr>
          <w:color w:val="555555"/>
          <w:sz w:val="22"/>
          <w:szCs w:val="22"/>
        </w:rPr>
        <w:t xml:space="preserve">Os filtros ativos são aplicados na exportação — filtre antes de exportar para obter um subconjunto específico.</w:t>
      </w:r>
    </w:p>
    <w:p>
      <w:r>
        <w:br w:type="page"/>
      </w:r>
    </w:p>
    <w:p>
      <w:pPr>
        <w:shd w:fill="071D41" w:val="clear"/>
        <w:spacing w:after="200" w:before="400"/>
        <w:ind w:left="1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3. Calibrações</w:t>
      </w:r>
    </w:p>
    <w:p>
      <w:pPr>
        <w:spacing w:after="80" w:before="80"/>
        <w:jc w:val="both"/>
      </w:pPr>
      <w:r>
        <w:rPr>
          <w:color w:val="555555"/>
          <w:sz w:val="22"/>
          <w:szCs w:val="22"/>
        </w:rPr>
        <w:t xml:space="preserve">O módulo de calibrações registra o histórico completo de calibrações de cada instrumento, incluindo certificados, resultado e validade.</w:t>
      </w:r>
    </w:p>
    <w:p>
      <w:pPr>
        <w:pBdr>
          <w:bottom w:val="single" w:color="F0F0F0" w:sz="6"/>
        </w:pBdr>
        <w:spacing w:after="160" w:before="160"/>
      </w:pPr>
    </w:p>
    <w:p>
      <w:pPr>
        <w:pBdr>
          <w:bottom w:val="single" w:color="1351B4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351B4"/>
          <w:sz w:val="26"/>
          <w:szCs w:val="26"/>
        </w:rPr>
        <w:t xml:space="preserve">3.1 Registrar Nova Calibração</w:t>
      </w:r>
    </w:p>
    <w:p>
      <w:pPr>
        <w:pStyle w:val="ListParagraph"/>
        <w:numPr>
          <w:ilvl w:val="0"/>
          <w:numId w:val="1"/>
        </w:numPr>
        <w:spacing w:after="60" w:before="60"/>
        <w:ind w:left="576"/>
      </w:pPr>
      <w:r>
        <w:rPr>
          <w:color w:val="555555"/>
          <w:sz w:val="22"/>
          <w:szCs w:val="22"/>
        </w:rPr>
        <w:t xml:space="preserve">1. Abra o instrumento no inventário</w:t>
      </w:r>
    </w:p>
    <w:p>
      <w:pPr>
        <w:pStyle w:val="ListParagraph"/>
        <w:numPr>
          <w:ilvl w:val="0"/>
          <w:numId w:val="1"/>
        </w:numPr>
        <w:spacing w:after="60" w:before="60"/>
        <w:ind w:left="576"/>
      </w:pPr>
      <w:r>
        <w:rPr>
          <w:color w:val="555555"/>
          <w:sz w:val="22"/>
          <w:szCs w:val="22"/>
        </w:rPr>
        <w:t xml:space="preserve">2. Clique na aba "Calibrações" ou em "Nova Calibração"</w:t>
      </w:r>
    </w:p>
    <w:p>
      <w:pPr>
        <w:pStyle w:val="ListParagraph"/>
        <w:numPr>
          <w:ilvl w:val="0"/>
          <w:numId w:val="1"/>
        </w:numPr>
        <w:spacing w:after="60" w:before="60"/>
        <w:ind w:left="576"/>
      </w:pPr>
      <w:r>
        <w:rPr>
          <w:color w:val="555555"/>
          <w:sz w:val="22"/>
          <w:szCs w:val="22"/>
        </w:rPr>
        <w:t xml:space="preserve">3. Preencha os dados:</w:t>
      </w:r>
    </w:p>
    <w:p>
      <w:pPr>
        <w:pStyle w:val="ListParagraph"/>
        <w:numPr>
          <w:ilvl w:val="1"/>
          <w:numId w:val="1"/>
        </w:numPr>
        <w:spacing w:after="60" w:before="60"/>
        <w:ind w:left="1008"/>
      </w:pPr>
      <w:r>
        <w:rPr>
          <w:color w:val="555555"/>
          <w:sz w:val="22"/>
          <w:szCs w:val="22"/>
        </w:rPr>
        <w:t xml:space="preserve">Data de calibração (obrigatório)</w:t>
      </w:r>
    </w:p>
    <w:p>
      <w:pPr>
        <w:pStyle w:val="ListParagraph"/>
        <w:numPr>
          <w:ilvl w:val="1"/>
          <w:numId w:val="1"/>
        </w:numPr>
        <w:spacing w:after="60" w:before="60"/>
        <w:ind w:left="1008"/>
      </w:pPr>
      <w:r>
        <w:rPr>
          <w:color w:val="555555"/>
          <w:sz w:val="22"/>
          <w:szCs w:val="22"/>
        </w:rPr>
        <w:t xml:space="preserve">Data de vencimento (obrigatório)</w:t>
      </w:r>
    </w:p>
    <w:p>
      <w:pPr>
        <w:pStyle w:val="ListParagraph"/>
        <w:numPr>
          <w:ilvl w:val="1"/>
          <w:numId w:val="1"/>
        </w:numPr>
        <w:spacing w:after="60" w:before="60"/>
        <w:ind w:left="1008"/>
      </w:pPr>
      <w:r>
        <w:rPr>
          <w:color w:val="555555"/>
          <w:sz w:val="22"/>
          <w:szCs w:val="22"/>
        </w:rPr>
        <w:t xml:space="preserve">Resultado: APROVADO / REPROVADO / CONDICIONADO</w:t>
      </w:r>
    </w:p>
    <w:p>
      <w:pPr>
        <w:pStyle w:val="ListParagraph"/>
        <w:numPr>
          <w:ilvl w:val="1"/>
          <w:numId w:val="1"/>
        </w:numPr>
        <w:spacing w:after="60" w:before="60"/>
        <w:ind w:left="1008"/>
      </w:pPr>
      <w:r>
        <w:rPr>
          <w:color w:val="555555"/>
          <w:sz w:val="22"/>
          <w:szCs w:val="22"/>
        </w:rPr>
        <w:t xml:space="preserve">Laboratório executor (obrigatório)</w:t>
      </w:r>
    </w:p>
    <w:p>
      <w:pPr>
        <w:pStyle w:val="ListParagraph"/>
        <w:numPr>
          <w:ilvl w:val="1"/>
          <w:numId w:val="1"/>
        </w:numPr>
        <w:spacing w:after="60" w:before="60"/>
        <w:ind w:left="1008"/>
      </w:pPr>
      <w:r>
        <w:rPr>
          <w:color w:val="555555"/>
          <w:sz w:val="22"/>
          <w:szCs w:val="22"/>
        </w:rPr>
        <w:t xml:space="preserve">Item de contrato vinculado (opcional — consome saldo do item)</w:t>
      </w:r>
    </w:p>
    <w:p>
      <w:pPr>
        <w:pStyle w:val="ListParagraph"/>
        <w:numPr>
          <w:ilvl w:val="1"/>
          <w:numId w:val="1"/>
        </w:numPr>
        <w:spacing w:after="60" w:before="60"/>
        <w:ind w:left="1008"/>
      </w:pPr>
      <w:r>
        <w:rPr>
          <w:color w:val="555555"/>
          <w:sz w:val="22"/>
          <w:szCs w:val="22"/>
        </w:rPr>
        <w:t xml:space="preserve">Observações livres</w:t>
      </w:r>
    </w:p>
    <w:p>
      <w:pPr>
        <w:pStyle w:val="ListParagraph"/>
        <w:numPr>
          <w:ilvl w:val="0"/>
          <w:numId w:val="1"/>
        </w:numPr>
        <w:spacing w:after="60" w:before="60"/>
        <w:ind w:left="576"/>
      </w:pPr>
      <w:r>
        <w:rPr>
          <w:color w:val="555555"/>
          <w:sz w:val="22"/>
          <w:szCs w:val="22"/>
        </w:rPr>
        <w:t xml:space="preserve">4. Anexe o certificado PDF (obrigatório para conformidade)</w:t>
      </w:r>
    </w:p>
    <w:p>
      <w:pPr>
        <w:pStyle w:val="ListParagraph"/>
        <w:numPr>
          <w:ilvl w:val="0"/>
          <w:numId w:val="1"/>
        </w:numPr>
        <w:spacing w:after="60" w:before="60"/>
        <w:ind w:left="576"/>
      </w:pPr>
      <w:r>
        <w:rPr>
          <w:color w:val="555555"/>
          <w:sz w:val="22"/>
          <w:szCs w:val="22"/>
        </w:rPr>
        <w:t xml:space="preserve">5. Clique em "Salvar"</w:t>
      </w:r>
    </w:p>
    <w:p>
      <w:pPr>
        <w:spacing w:before="120"/>
      </w:pPr>
    </w:p>
    <w:p>
      <w:pPr>
        <w:pBdr>
          <w:left w:val="single" w:color="856404" w:sz="12"/>
        </w:pBdr>
        <w:shd w:fill="FFF3CD" w:val="clear"/>
        <w:spacing w:after="120" w:before="120"/>
        <w:ind w:left="360" w:right="360"/>
      </w:pPr>
      <w:r>
        <w:rPr>
          <w:b/>
          <w:bCs/>
          <w:color w:val="856404"/>
          <w:sz w:val="20"/>
          <w:szCs w:val="20"/>
        </w:rPr>
        <w:t xml:space="preserve">ATENÇÃO: </w:t>
      </w:r>
      <w:r>
        <w:rPr>
          <w:color w:val="555555"/>
          <w:sz w:val="20"/>
          <w:szCs w:val="20"/>
        </w:rPr>
        <w:t xml:space="preserve">Ao vincular um item de contrato, o saldo do item é decrementado automaticamente. Verifique o saldo disponível antes de vincular.</w:t>
      </w:r>
    </w:p>
    <w:p>
      <w:pPr>
        <w:pBdr>
          <w:bottom w:val="single" w:color="F0F0F0" w:sz="6"/>
        </w:pBdr>
        <w:spacing w:after="160" w:before="160"/>
      </w:pPr>
    </w:p>
    <w:p>
      <w:pPr>
        <w:pBdr>
          <w:bottom w:val="single" w:color="1351B4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351B4"/>
          <w:sz w:val="26"/>
          <w:szCs w:val="26"/>
        </w:rPr>
        <w:t xml:space="preserve">3.2 Status de Calibração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4000"/>
        <w:gridCol w:w="2500"/>
      </w:tblGrid>
      <w:tr>
        <w:tc>
          <w:tcPr>
            <w:tcW w:type="dxa" w:w="2500"/>
            <w:shd w:fill="071D41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shd w:fill="071D41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2500"/>
            <w:shd w:fill="071D41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Válido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Data de vencimento no futuro e resultado APROVADO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Verde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A vencer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Vencimento em até 30 dias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Amarelo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Vencido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Data de vencimento no passado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Vermelho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Sem calibração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Nenhuma calibração registrada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Cinza</w:t>
            </w:r>
          </w:p>
        </w:tc>
      </w:tr>
    </w:tbl>
    <w:p>
      <w:pPr>
        <w:pBdr>
          <w:bottom w:val="single" w:color="F0F0F0" w:sz="6"/>
        </w:pBdr>
        <w:spacing w:after="160" w:before="160"/>
      </w:pPr>
    </w:p>
    <w:p>
      <w:pPr>
        <w:pBdr>
          <w:bottom w:val="single" w:color="1351B4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351B4"/>
          <w:sz w:val="26"/>
          <w:szCs w:val="26"/>
        </w:rPr>
        <w:t xml:space="preserve">3.3 Visualizar Certificado</w:t>
      </w:r>
    </w:p>
    <w:p>
      <w:pPr>
        <w:spacing w:after="80" w:before="80"/>
        <w:jc w:val="both"/>
      </w:pPr>
      <w:r>
        <w:rPr>
          <w:color w:val="555555"/>
          <w:sz w:val="22"/>
          <w:szCs w:val="22"/>
        </w:rPr>
        <w:t xml:space="preserve">Na lista de calibrações do instrumento, clique no ícone PDF para abrir o certificado anexado. O download também está disponível.</w:t>
      </w:r>
    </w:p>
    <w:p>
      <w:r>
        <w:br w:type="page"/>
      </w:r>
    </w:p>
    <w:p>
      <w:pPr>
        <w:shd w:fill="071D41" w:val="clear"/>
        <w:spacing w:after="200" w:before="400"/>
        <w:ind w:left="1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4. Laboratórios</w:t>
      </w:r>
    </w:p>
    <w:p>
      <w:pPr>
        <w:spacing w:after="80" w:before="80"/>
        <w:jc w:val="both"/>
      </w:pPr>
      <w:r>
        <w:rPr>
          <w:color w:val="555555"/>
          <w:sz w:val="22"/>
          <w:szCs w:val="22"/>
        </w:rPr>
        <w:t xml:space="preserve">Cadastro dos laboratórios de calibração acreditados. Todo contrato deve ter um laboratório vinculado.</w:t>
      </w:r>
    </w:p>
    <w:p>
      <w:pPr>
        <w:pBdr>
          <w:bottom w:val="single" w:color="F0F0F0" w:sz="6"/>
        </w:pBdr>
        <w:spacing w:after="160" w:before="160"/>
      </w:pPr>
    </w:p>
    <w:p>
      <w:pPr>
        <w:pBdr>
          <w:bottom w:val="single" w:color="1351B4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351B4"/>
          <w:sz w:val="26"/>
          <w:szCs w:val="26"/>
        </w:rPr>
        <w:t xml:space="preserve">4.1 Cadastrar Laboratório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000"/>
      </w:tblGrid>
      <w:tr>
        <w:tc>
          <w:tcPr>
            <w:tcW w:type="dxa" w:w="3000"/>
            <w:shd w:fill="071D41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000"/>
            <w:shd w:fill="071D41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Nome *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Razão social do laboratório.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Acreditação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Número de acreditação RBC ou CGCRE.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Validade da Acreditação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Data de vencimento da acreditação. Gera alerta quando próxima.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Contato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E-mail ou telefone do laboratório.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Ativo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Laboratório disponível para novos contratos.</w:t>
            </w:r>
          </w:p>
        </w:tc>
      </w:tr>
    </w:tbl>
    <w:p>
      <w:pPr>
        <w:pBdr>
          <w:left w:val="single" w:color="856404" w:sz="12"/>
        </w:pBdr>
        <w:shd w:fill="FFF3CD" w:val="clear"/>
        <w:spacing w:after="120" w:before="120"/>
        <w:ind w:left="360" w:right="360"/>
      </w:pPr>
      <w:r>
        <w:rPr>
          <w:b/>
          <w:bCs/>
          <w:color w:val="856404"/>
          <w:sz w:val="20"/>
          <w:szCs w:val="20"/>
        </w:rPr>
        <w:t xml:space="preserve">ATENÇÃO: </w:t>
      </w:r>
      <w:r>
        <w:rPr>
          <w:color w:val="555555"/>
          <w:sz w:val="20"/>
          <w:szCs w:val="20"/>
        </w:rPr>
        <w:t xml:space="preserve">Laboratórios com acreditação vencida aparecem nos alertas. Mantenha as datas de validade atualizadas.</w:t>
      </w:r>
    </w:p>
    <w:p>
      <w:r>
        <w:br w:type="page"/>
      </w:r>
    </w:p>
    <w:p>
      <w:pPr>
        <w:shd w:fill="071D41" w:val="clear"/>
        <w:spacing w:after="200" w:before="400"/>
        <w:ind w:left="1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5. Contratos e ATAs</w:t>
      </w:r>
    </w:p>
    <w:p>
      <w:pPr>
        <w:spacing w:after="80" w:before="80"/>
        <w:jc w:val="both"/>
      </w:pPr>
      <w:r>
        <w:rPr>
          <w:color w:val="555555"/>
          <w:sz w:val="22"/>
          <w:szCs w:val="22"/>
        </w:rPr>
        <w:t xml:space="preserve">Gerenciamento dos contratos e Atas de Registro de Preços (ARP) de serviços de calibração.</w:t>
      </w:r>
    </w:p>
    <w:p>
      <w:pPr>
        <w:pBdr>
          <w:bottom w:val="single" w:color="F0F0F0" w:sz="6"/>
        </w:pBdr>
        <w:spacing w:after="160" w:before="160"/>
      </w:pPr>
    </w:p>
    <w:p>
      <w:pPr>
        <w:pBdr>
          <w:bottom w:val="single" w:color="1351B4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351B4"/>
          <w:sz w:val="26"/>
          <w:szCs w:val="26"/>
        </w:rPr>
        <w:t xml:space="preserve">5.1 Estrutura</w:t>
      </w:r>
    </w:p>
    <w:p>
      <w:pPr>
        <w:spacing w:after="80" w:before="80"/>
        <w:jc w:val="both"/>
      </w:pPr>
      <w:r>
        <w:rPr>
          <w:color w:val="555555"/>
          <w:sz w:val="22"/>
          <w:szCs w:val="22"/>
        </w:rPr>
        <w:t xml:space="preserve">Cada contrato tem um laboratório fornecedor e um conjunto de itens. Cada item representa um tipo de serviço com quantidade, preço unitário e saldo disponível.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000"/>
      </w:tblGrid>
      <w:tr>
        <w:tc>
          <w:tcPr>
            <w:tcW w:type="dxa" w:w="3000"/>
            <w:shd w:fill="071D41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Conceito</w:t>
            </w:r>
          </w:p>
        </w:tc>
        <w:tc>
          <w:tcPr>
            <w:tcW w:type="dxa" w:w="6000"/>
            <w:shd w:fill="071D41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Contrato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Acordo formal com número, laboratório, período de vigência e valor total.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Item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Linha do contrato: descrição do serviço, preço unitário e quantidade contratada.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Saldo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Quantidade disponível = quantidade contratada − calibrações vinculadas.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Catálogo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Visão consolidada dos itens vigentes de todos os contratos.</w:t>
            </w:r>
          </w:p>
        </w:tc>
      </w:tr>
    </w:tbl>
    <w:p>
      <w:pPr>
        <w:pBdr>
          <w:bottom w:val="single" w:color="F0F0F0" w:sz="6"/>
        </w:pBdr>
        <w:spacing w:after="160" w:before="160"/>
      </w:pPr>
    </w:p>
    <w:p>
      <w:pPr>
        <w:pBdr>
          <w:bottom w:val="single" w:color="1351B4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351B4"/>
          <w:sz w:val="26"/>
          <w:szCs w:val="26"/>
        </w:rPr>
        <w:t xml:space="preserve">5.2 Vigência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000"/>
      </w:tblGrid>
      <w:tr>
        <w:tc>
          <w:tcPr>
            <w:tcW w:type="dxa" w:w="3000"/>
            <w:shd w:fill="071D41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shd w:fill="071D41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Vigente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Data atual entre data_inicio e data_fim, e saldo &gt; 0 em algum item.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Vencido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data_fim no passado.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Esgotado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Todos os itens com saldo = 0.</w:t>
            </w:r>
          </w:p>
        </w:tc>
      </w:tr>
    </w:tbl>
    <w:p>
      <w:r>
        <w:br w:type="page"/>
      </w:r>
    </w:p>
    <w:p>
      <w:pPr>
        <w:shd w:fill="071D41" w:val="clear"/>
        <w:spacing w:after="200" w:before="400"/>
        <w:ind w:left="1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6. Importação de Inventário</w:t>
      </w:r>
    </w:p>
    <w:p>
      <w:pPr>
        <w:spacing w:after="80" w:before="80"/>
        <w:jc w:val="both"/>
      </w:pPr>
      <w:r>
        <w:rPr>
          <w:color w:val="555555"/>
          <w:sz w:val="22"/>
          <w:szCs w:val="22"/>
        </w:rPr>
        <w:t xml:space="preserve">Para carregar o inventário completo via CSV:</w:t>
      </w:r>
    </w:p>
    <w:p>
      <w:pPr>
        <w:pStyle w:val="ListParagraph"/>
        <w:numPr>
          <w:ilvl w:val="0"/>
          <w:numId w:val="1"/>
        </w:numPr>
        <w:spacing w:after="60" w:before="60"/>
        <w:ind w:left="576"/>
      </w:pPr>
      <w:r>
        <w:rPr>
          <w:color w:val="555555"/>
          <w:sz w:val="22"/>
          <w:szCs w:val="22"/>
        </w:rPr>
        <w:t xml:space="preserve">1. Acesse o menu "Importar"</w:t>
      </w:r>
    </w:p>
    <w:p>
      <w:pPr>
        <w:pStyle w:val="ListParagraph"/>
        <w:numPr>
          <w:ilvl w:val="0"/>
          <w:numId w:val="1"/>
        </w:numPr>
        <w:spacing w:after="60" w:before="60"/>
        <w:ind w:left="576"/>
      </w:pPr>
      <w:r>
        <w:rPr>
          <w:color w:val="555555"/>
          <w:sz w:val="22"/>
          <w:szCs w:val="22"/>
        </w:rPr>
        <w:t xml:space="preserve">2. Envie o arquivo CSV no formato esperado</w:t>
      </w:r>
    </w:p>
    <w:p>
      <w:pPr>
        <w:pStyle w:val="ListParagraph"/>
        <w:numPr>
          <w:ilvl w:val="0"/>
          <w:numId w:val="1"/>
        </w:numPr>
        <w:spacing w:after="60" w:before="60"/>
        <w:ind w:left="576"/>
      </w:pPr>
      <w:r>
        <w:rPr>
          <w:color w:val="555555"/>
          <w:sz w:val="22"/>
          <w:szCs w:val="22"/>
        </w:rPr>
        <w:t xml:space="preserve">3. Revise o relatório dry-run (válidos / avisos / erros por linha)</w:t>
      </w:r>
    </w:p>
    <w:p>
      <w:pPr>
        <w:pStyle w:val="ListParagraph"/>
        <w:numPr>
          <w:ilvl w:val="0"/>
          <w:numId w:val="1"/>
        </w:numPr>
        <w:spacing w:after="60" w:before="60"/>
        <w:ind w:left="576"/>
      </w:pPr>
      <w:r>
        <w:rPr>
          <w:color w:val="555555"/>
          <w:sz w:val="22"/>
          <w:szCs w:val="22"/>
        </w:rPr>
        <w:t xml:space="preserve">4. Corrija eventuais erros no CSV e reimporte, ou</w:t>
      </w:r>
    </w:p>
    <w:p>
      <w:pPr>
        <w:pStyle w:val="ListParagraph"/>
        <w:numPr>
          <w:ilvl w:val="0"/>
          <w:numId w:val="1"/>
        </w:numPr>
        <w:spacing w:after="60" w:before="60"/>
        <w:ind w:left="576"/>
      </w:pPr>
      <w:r>
        <w:rPr>
          <w:color w:val="555555"/>
          <w:sz w:val="22"/>
          <w:szCs w:val="22"/>
        </w:rPr>
        <w:t xml:space="preserve">5. Clique "Confirmar importação" para gravar os registros válidos</w:t>
      </w:r>
    </w:p>
    <w:p>
      <w:pPr>
        <w:spacing w:before="120"/>
      </w:pPr>
    </w:p>
    <w:p>
      <w:pPr>
        <w:spacing w:after="80" w:before="200"/>
      </w:pPr>
      <w:r>
        <w:rPr>
          <w:b/>
          <w:bCs/>
          <w:color w:val="1351B4"/>
          <w:sz w:val="22"/>
          <w:szCs w:val="22"/>
        </w:rPr>
        <w:t xml:space="preserve">Formato do CSV:</w:t>
      </w:r>
    </w:p>
    <w:p>
      <w:pPr>
        <w:pBdr>
          <w:left w:val="single" w:color="168821" w:sz="8"/>
        </w:pBdr>
        <w:shd w:fill="F0FFF4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0A4A3C"/>
          <w:sz w:val="18"/>
          <w:szCs w:val="18"/>
        </w:rPr>
        <w:t xml:space="preserve">tag,descricao,fabricante,modelo,n_serie,patrimonio,setor,familia,tipo,grandeza,unidade,faixa_min,faixa_max,resolucao</w:t>
      </w:r>
    </w:p>
    <w:p>
      <w:pPr>
        <w:pBdr>
          <w:left w:val="single" w:color="1351B4" w:sz="12"/>
        </w:pBdr>
        <w:shd w:fill="EFF6FB" w:val="clear"/>
        <w:spacing w:after="120" w:before="120"/>
        <w:ind w:left="360" w:right="360"/>
      </w:pPr>
      <w:r>
        <w:rPr>
          <w:b/>
          <w:bCs/>
          <w:color w:val="1351B4"/>
          <w:sz w:val="20"/>
          <w:szCs w:val="20"/>
        </w:rPr>
        <w:t xml:space="preserve">NOTA: </w:t>
      </w:r>
      <w:r>
        <w:rPr>
          <w:color w:val="555555"/>
          <w:sz w:val="20"/>
          <w:szCs w:val="20"/>
        </w:rPr>
        <w:t xml:space="preserve">A coluna `tag` deve ser única. Linhas com TAG já existente são ignoradas (não sobrescreve).</w:t>
      </w:r>
    </w:p>
    <w:p>
      <w:r>
        <w:br w:type="page"/>
      </w:r>
    </w:p>
    <w:p>
      <w:pPr>
        <w:shd w:fill="071D41" w:val="clear"/>
        <w:spacing w:after="200" w:before="400"/>
        <w:ind w:left="1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7. Alertas</w:t>
      </w:r>
    </w:p>
    <w:p>
      <w:pPr>
        <w:spacing w:after="80" w:before="80"/>
        <w:jc w:val="both"/>
      </w:pPr>
      <w:r>
        <w:rPr>
          <w:color w:val="555555"/>
          <w:sz w:val="22"/>
          <w:szCs w:val="22"/>
        </w:rPr>
        <w:t xml:space="preserve">O painel de alertas consolida todos os itens que requerem atenção, organizados por categoria: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000"/>
      </w:tblGrid>
      <w:tr>
        <w:tc>
          <w:tcPr>
            <w:tcW w:type="dxa" w:w="3000"/>
            <w:shd w:fill="071D41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000"/>
            <w:shd w:fill="071D41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Critério de Alerta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Instrumentos vencidos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Calibração com data de vencimento no passado.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Instrumentos a vencer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Vencimento em até 30 dias.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Sem calibração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Instrumentos ativos sem nenhuma calibração registrada.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Acreditações a vencer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Laboratório com acreditação vencendo em até 60 dias.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Contratos a vencer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Contrato com data_fim em até 30 dias.</w:t>
            </w:r>
          </w:p>
        </w:tc>
      </w:tr>
    </w:tbl>
    <w:p>
      <w:pPr>
        <w:pBdr>
          <w:left w:val="single" w:color="1351B4" w:sz="12"/>
        </w:pBdr>
        <w:shd w:fill="EFF6FB" w:val="clear"/>
        <w:spacing w:after="120" w:before="120"/>
        <w:ind w:left="360" w:right="360"/>
      </w:pPr>
      <w:r>
        <w:rPr>
          <w:b/>
          <w:bCs/>
          <w:color w:val="1351B4"/>
          <w:sz w:val="20"/>
          <w:szCs w:val="20"/>
        </w:rPr>
        <w:t xml:space="preserve">NOTA: </w:t>
      </w:r>
      <w:r>
        <w:rPr>
          <w:color w:val="555555"/>
          <w:sz w:val="20"/>
          <w:szCs w:val="20"/>
        </w:rPr>
        <w:t xml:space="preserve">Acesse o menu "Alertas" diariamente para identificar e priorizar ações de manutenção da conformidade metrológica.</w:t>
      </w:r>
    </w:p>
    <w:p>
      <w:r>
        <w:br w:type="page"/>
      </w:r>
    </w:p>
    <w:p>
      <w:pPr>
        <w:shd w:fill="071D41" w:val="clear"/>
        <w:spacing w:after="200" w:before="400"/>
        <w:ind w:left="1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8. Acesso Público (sem login)</w:t>
      </w:r>
    </w:p>
    <w:p>
      <w:pPr>
        <w:spacing w:after="80" w:before="80"/>
        <w:jc w:val="both"/>
      </w:pPr>
      <w:r>
        <w:rPr>
          <w:color w:val="555555"/>
          <w:sz w:val="22"/>
          <w:szCs w:val="22"/>
        </w:rPr>
        <w:t xml:space="preserve">Duas páginas são acessíveis sem autenticação, para uso via QR code ou compartilhamento:</w:t>
      </w:r>
    </w:p>
    <w:p>
      <w:pPr>
        <w:pBdr>
          <w:bottom w:val="single" w:color="F0F0F0" w:sz="6"/>
        </w:pBdr>
        <w:spacing w:after="160" w:before="160"/>
      </w:pPr>
    </w:p>
    <w:p>
      <w:pPr>
        <w:pBdr>
          <w:bottom w:val="single" w:color="1351B4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351B4"/>
          <w:sz w:val="26"/>
          <w:szCs w:val="26"/>
        </w:rPr>
        <w:t xml:space="preserve">8.1 Ficha do Instrumento</w:t>
      </w:r>
    </w:p>
    <w:p>
      <w:pPr>
        <w:spacing w:after="80" w:before="80"/>
        <w:jc w:val="both"/>
      </w:pPr>
      <w:r>
        <w:rPr>
          <w:color w:val="555555"/>
          <w:sz w:val="22"/>
          <w:szCs w:val="22"/>
        </w:rPr>
        <w:t xml:space="preserve">URL: /publico/instrumento/{tag}</w:t>
      </w:r>
    </w:p>
    <w:p>
      <w:pPr>
        <w:spacing w:after="80" w:before="80"/>
        <w:jc w:val="both"/>
      </w:pPr>
      <w:r>
        <w:rPr>
          <w:color w:val="555555"/>
          <w:sz w:val="22"/>
          <w:szCs w:val="22"/>
        </w:rPr>
        <w:t xml:space="preserve">Exibe os dados metrológicos e a última calibração do instrumento. Gerada automaticamente ao imprimir a etiqueta QR.</w:t>
      </w:r>
    </w:p>
    <w:p>
      <w:pPr>
        <w:pBdr>
          <w:bottom w:val="single" w:color="F0F0F0" w:sz="6"/>
        </w:pBdr>
        <w:spacing w:after="160" w:before="160"/>
      </w:pPr>
    </w:p>
    <w:p>
      <w:pPr>
        <w:pBdr>
          <w:bottom w:val="single" w:color="1351B4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351B4"/>
          <w:sz w:val="26"/>
          <w:szCs w:val="26"/>
        </w:rPr>
        <w:t xml:space="preserve">8.2 Painel por Setor</w:t>
      </w:r>
    </w:p>
    <w:p>
      <w:pPr>
        <w:spacing w:after="80" w:before="80"/>
        <w:jc w:val="both"/>
      </w:pPr>
      <w:r>
        <w:rPr>
          <w:color w:val="555555"/>
          <w:sz w:val="22"/>
          <w:szCs w:val="22"/>
        </w:rPr>
        <w:t xml:space="preserve">URL: /publico/setor/{nome_setor}</w:t>
      </w:r>
    </w:p>
    <w:p>
      <w:pPr>
        <w:spacing w:after="80" w:before="80"/>
        <w:jc w:val="both"/>
      </w:pPr>
      <w:r>
        <w:rPr>
          <w:color w:val="555555"/>
          <w:sz w:val="22"/>
          <w:szCs w:val="22"/>
        </w:rPr>
        <w:t xml:space="preserve">Lista todos os instrumentos do setor com status de calibração. Útil para exibir em monitores nas oficinas.</w:t>
      </w:r>
    </w:p>
    <w:p>
      <w:r>
        <w:br w:type="page"/>
      </w:r>
    </w:p>
    <w:p>
      <w:pPr>
        <w:shd w:fill="071D41" w:val="clear"/>
        <w:spacing w:after="200" w:before="400"/>
        <w:ind w:left="1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9. Backup e Restauração</w:t>
      </w:r>
    </w:p>
    <w:p>
      <w:pPr>
        <w:spacing w:after="80" w:before="80"/>
        <w:jc w:val="both"/>
      </w:pPr>
      <w:r>
        <w:rPr>
          <w:color w:val="555555"/>
          <w:sz w:val="22"/>
          <w:szCs w:val="22"/>
        </w:rPr>
        <w:t xml:space="preserve">Todo o estado do sistema está em dois locais no servidor: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000"/>
      </w:tblGrid>
      <w:tr>
        <w:tc>
          <w:tcPr>
            <w:tcW w:type="dxa" w:w="3000"/>
            <w:shd w:fill="071D41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Local</w:t>
            </w:r>
          </w:p>
        </w:tc>
        <w:tc>
          <w:tcPr>
            <w:tcW w:type="dxa" w:w="6000"/>
            <w:shd w:fill="071D41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/data/siscalib.db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Banco de dados SQLite — todos os cadastros e histórico.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/data/uploads/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Certificados PDF anexados às calibrações.</w:t>
            </w:r>
          </w:p>
        </w:tc>
      </w:tr>
    </w:tbl>
    <w:p>
      <w:pPr>
        <w:pBdr>
          <w:bottom w:val="single" w:color="F0F0F0" w:sz="6"/>
        </w:pBdr>
        <w:spacing w:after="160" w:before="160"/>
      </w:pPr>
    </w:p>
    <w:p>
      <w:pPr>
        <w:pBdr>
          <w:bottom w:val="single" w:color="1351B4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351B4"/>
          <w:sz w:val="26"/>
          <w:szCs w:val="26"/>
        </w:rPr>
        <w:t xml:space="preserve">9.1 Fazer Backup</w:t>
      </w:r>
    </w:p>
    <w:p>
      <w:pPr>
        <w:spacing w:after="80" w:before="80"/>
        <w:jc w:val="both"/>
      </w:pPr>
      <w:r>
        <w:rPr>
          <w:color w:val="555555"/>
          <w:sz w:val="22"/>
          <w:szCs w:val="22"/>
        </w:rPr>
        <w:t xml:space="preserve">Via Docker:</w:t>
      </w:r>
    </w:p>
    <w:p>
      <w:pPr>
        <w:pBdr>
          <w:left w:val="single" w:color="168821" w:sz="8"/>
        </w:pBdr>
        <w:shd w:fill="F0FFF4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0A4A3C"/>
          <w:sz w:val="18"/>
          <w:szCs w:val="18"/>
        </w:rPr>
        <w:t xml:space="preserve">docker cp siscalibracao:/data/siscalib.db ./backup_$(date +%Y%m%d).db
docker cp siscalibracao:/data/uploads/ ./uploads_backup/</w:t>
      </w:r>
    </w:p>
    <w:p>
      <w:pPr>
        <w:pBdr>
          <w:bottom w:val="single" w:color="F0F0F0" w:sz="6"/>
        </w:pBdr>
        <w:spacing w:after="160" w:before="160"/>
      </w:pPr>
    </w:p>
    <w:p>
      <w:pPr>
        <w:pBdr>
          <w:bottom w:val="single" w:color="1351B4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351B4"/>
          <w:sz w:val="26"/>
          <w:szCs w:val="26"/>
        </w:rPr>
        <w:t xml:space="preserve">9.2 Restaurar</w:t>
      </w:r>
    </w:p>
    <w:p>
      <w:pPr>
        <w:spacing w:after="80" w:before="80"/>
        <w:jc w:val="both"/>
      </w:pPr>
      <w:r>
        <w:rPr>
          <w:color w:val="555555"/>
          <w:sz w:val="22"/>
          <w:szCs w:val="22"/>
        </w:rPr>
        <w:t xml:space="preserve">Copie o arquivo `siscalib.db` para o servidor e reinicie o container. O Alembic detecta automaticamente que o schema já está atualizado.</w:t>
      </w:r>
    </w:p>
    <w:p>
      <w:pPr>
        <w:pBdr>
          <w:left w:val="single" w:color="856404" w:sz="12"/>
        </w:pBdr>
        <w:shd w:fill="FFF3CD" w:val="clear"/>
        <w:spacing w:after="120" w:before="120"/>
        <w:ind w:left="360" w:right="360"/>
      </w:pPr>
      <w:r>
        <w:rPr>
          <w:b/>
          <w:bCs/>
          <w:color w:val="856404"/>
          <w:sz w:val="20"/>
          <w:szCs w:val="20"/>
        </w:rPr>
        <w:t xml:space="preserve">ATENÇÃO: </w:t>
      </w:r>
      <w:r>
        <w:rPr>
          <w:color w:val="555555"/>
          <w:sz w:val="20"/>
          <w:szCs w:val="20"/>
        </w:rPr>
        <w:t xml:space="preserve">Faça backup antes de qualquer atualização do sistema ou migração de servidor.</w:t>
      </w:r>
    </w:p>
    <w:p>
      <w:r>
        <w:br w:type="page"/>
      </w:r>
    </w:p>
    <w:p>
      <w:pPr>
        <w:shd w:fill="071D41" w:val="clear"/>
        <w:spacing w:after="200" w:before="400"/>
        <w:ind w:left="1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10. Troubleshooting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000"/>
      </w:tblGrid>
      <w:tr>
        <w:tc>
          <w:tcPr>
            <w:tcW w:type="dxa" w:w="3000"/>
            <w:shd w:fill="071D41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6000"/>
            <w:shd w:fill="071D41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Solução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Página demora ~30s para abrir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Sistema em hibernação (Render free tier). Aguarde — carrega normalmente após o primeiro acesso.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Saldo do item ficou negativo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Ocorre se calibrações forem excluídas após vinculação. Acesse o item do contrato e ajuste o saldo manualmente.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Certificado PDF não abre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Verifique se o arquivo foi corretamente anexado. Tamanho máximo: 10MB.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Importação com erros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Revise o relatório dry-run. Erros comuns: TAG duplicada, grandeza inválida, faixa_min &gt; faixa_max.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Acreditação vencida bloqueando operação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O sistema não bloqueia — apenas alerta. Atualize a data de validade da acreditação no cadastro do laboratório.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QR code não abre a ficha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60" w:before="60"/>
              <w:ind w:left="120"/>
            </w:pPr>
            <w:r>
              <w:rPr>
                <w:color w:val="555555"/>
                <w:sz w:val="20"/>
                <w:szCs w:val="20"/>
              </w:rPr>
              <w:t xml:space="preserve">Verifique se a URL do sistema está correta e acessível pela rede. A página de ficha pública não requer login.</w:t>
            </w:r>
          </w:p>
        </w:tc>
      </w:tr>
    </w:tbl>
    <w:p>
      <w:r>
        <w:br w:type="page"/>
      </w:r>
    </w:p>
    <w:p>
      <w:pPr>
        <w:spacing w:before="400"/>
      </w:pPr>
    </w:p>
    <w:p>
      <w:pPr>
        <w:jc w:val="center"/>
      </w:pPr>
      <w:r>
        <w:rPr>
          <w:b/>
          <w:bCs/>
          <w:color w:val="071D41"/>
          <w:sz w:val="22"/>
          <w:szCs w:val="22"/>
        </w:rPr>
        <w:t xml:space="preserve">CMASM-132 — Gestão Metrológica</w:t>
      </w:r>
    </w:p>
    <w:p>
      <w:pPr>
        <w:jc w:val="center"/>
      </w:pPr>
      <w:r>
        <w:rPr>
          <w:color w:val="555555"/>
          <w:sz w:val="20"/>
          <w:szCs w:val="20"/>
        </w:rPr>
        <w:t xml:space="preserve">Marinha do Brasil  ·  Documento para uso interno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0F0F0" w:sz="4"/>
      </w:pBdr>
      <w:spacing w:before="80"/>
    </w:pPr>
    <w:r>
      <w:rPr>
        <w:color w:val="555555"/>
        <w:sz w:val="16"/>
        <w:szCs w:val="16"/>
      </w:rPr>
      <w:t xml:space="preserve">Marinha do Brasil — Uso interno</w:t>
    </w:r>
    <w:r>
      <w:rPr>
        <w:color w:val="555555"/>
        <w:sz w:val="16"/>
        <w:szCs w:val="16"/>
      </w:rPr>
      <w:t xml:space="preserve">		Página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0F0F0" w:sz="4"/>
      </w:pBdr>
      <w:spacing w:after="80"/>
      <w:jc w:val="right"/>
    </w:pPr>
    <w:r>
      <w:rPr>
        <w:color w:val="555555"/>
        <w:sz w:val="16"/>
        <w:szCs w:val="16"/>
      </w:rPr>
      <w:t xml:space="preserve">SisCalib  ·  Manual do Usuário  ·  CMASM-132 / Marinha do Brasil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5555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hd w:fill="071D41" w:val="clear"/>
      <w:spacing w:after="200" w:before="400"/>
      <w:ind w:left="180"/>
    </w:pPr>
    <w:rPr>
      <w:rFonts w:ascii="Calibri" w:cs="Calibri" w:eastAsia="Calibri" w:hAnsi="Calibri"/>
      <w:b/>
      <w:bCs/>
      <w:color w:val="FFFFFF"/>
      <w:sz w:val="32"/>
      <w:szCs w:val="32"/>
    </w:rPr>
  </w:style>
  <w:style w:type="paragraph" w:styleId="Heading2">
    <w:name w:val="Heading 2"/>
    <w:pPr>
      <w:spacing w:after="120" w:before="280"/>
    </w:pPr>
    <w:rPr>
      <w:rFonts w:ascii="Calibri" w:cs="Calibri" w:eastAsia="Calibri" w:hAnsi="Calibri"/>
      <w:b/>
      <w:bCs/>
      <w:color w:val="1351B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Usuário — SisCalib</dc:title>
  <dc:creator>SisCalib — CMASM-132</dc:creator>
  <cp:lastModifiedBy>Un-named</cp:lastModifiedBy>
  <cp:revision>1</cp:revision>
  <dcterms:created xsi:type="dcterms:W3CDTF">2026-08-05T09:59:17.442Z</dcterms:created>
  <dcterms:modified xsi:type="dcterms:W3CDTF">2026-08-05T09:59:17.455Z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