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F8FC" w14:textId="4EE61C83" w:rsidR="00513972" w:rsidRPr="009F7C45" w:rsidRDefault="009F7C45" w:rsidP="009F7C45">
      <w:pPr>
        <w:rPr>
          <w:rFonts w:ascii="Comic Sans MS" w:hAnsi="Comic Sans MS"/>
          <w:sz w:val="28"/>
          <w:szCs w:val="28"/>
        </w:rPr>
      </w:pPr>
      <w:r w:rsidRPr="009F7C45">
        <w:rPr>
          <w:rFonts w:ascii="Comic Sans MS" w:hAnsi="Comic Sans MS"/>
          <w:sz w:val="28"/>
          <w:szCs w:val="28"/>
        </w:rPr>
        <w:t xml:space="preserve">Der I2C-Bus </w:t>
      </w:r>
      <w:r>
        <w:rPr>
          <w:rFonts w:ascii="Comic Sans MS" w:hAnsi="Comic Sans MS"/>
          <w:sz w:val="28"/>
          <w:szCs w:val="28"/>
        </w:rPr>
        <w:t>hat</w:t>
      </w:r>
      <w:r w:rsidRPr="009F7C45">
        <w:rPr>
          <w:rFonts w:ascii="Comic Sans MS" w:hAnsi="Comic Sans MS"/>
          <w:sz w:val="28"/>
          <w:szCs w:val="28"/>
        </w:rPr>
        <w:t xml:space="preserve"> zwei "Daten"-Leitungen. SDA übernimmt die Datenübertragung, während SCL den Takt für die Datenübertragung über SDA steuert.</w:t>
      </w:r>
    </w:p>
    <w:sectPr w:rsidR="00513972" w:rsidRPr="009F7C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D8"/>
    <w:rsid w:val="000C5ED8"/>
    <w:rsid w:val="0041522F"/>
    <w:rsid w:val="00513972"/>
    <w:rsid w:val="009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BA9"/>
  <w15:chartTrackingRefBased/>
  <w15:docId w15:val="{9CC981BF-436E-4838-8A1A-3F17D695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330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0696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36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5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8089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3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5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27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8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4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59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4</cp:revision>
  <dcterms:created xsi:type="dcterms:W3CDTF">2024-02-05T08:44:00Z</dcterms:created>
  <dcterms:modified xsi:type="dcterms:W3CDTF">2024-02-05T09:20:00Z</dcterms:modified>
</cp:coreProperties>
</file>