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0E7C86"/>
          <w:sz w:val="20"/>
          <w:szCs w:val="20"/>
        </w:rPr>
        <w:t xml:space="preserve">PLANSOM  ·  GO-TO-MARKET  ·  PILLAR 02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F3A5F"/>
          <w:sz w:val="60"/>
          <w:szCs w:val="60"/>
        </w:rPr>
        <w:t xml:space="preserve">Content Operating System</w:t>
      </w:r>
    </w:p>
    <w:p>
      <w:pPr>
        <w:pBdr>
          <w:bottom w:val="single" w:color="0E7C86" w:sz="18" w:space="8"/>
        </w:pBdr>
        <w:spacing w:after="220" w:before="80"/>
      </w:pPr>
      <w:r>
        <w:rPr>
          <w:rFonts w:ascii="Calibri" w:cs="Calibri" w:eastAsia="Calibri" w:hAnsi="Calibri"/>
          <w:i/>
          <w:iCs/>
          <w:color w:val="5B6472"/>
          <w:sz w:val="24"/>
          <w:szCs w:val="24"/>
        </w:rPr>
        <w:t xml:space="preserve">Companion deep-dive to the GTM Pillar Overview</w:t>
      </w:r>
    </w:p>
    <w:tbl>
      <w:tblPr>
        <w:tblW w:type="dxa" w:w="9360"/>
        <w:tblBorders>
          <w:top w:val="none"/>
          <w:left w:val="single" w:color="0E7C86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0E7C86"/>
                <w:sz w:val="17"/>
                <w:szCs w:val="17"/>
              </w:rPr>
              <w:t xml:space="preserve">WHY CONTENT IS ITS OWN PILLAR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Content is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21"/>
                <w:szCs w:val="21"/>
              </w:rPr>
              <w:t xml:space="preserve">connective tissue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 that makes the “why” legible everywhere. It does not serve a single stage — it arms every other pillar, and it is the pillar that lets prospects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222222"/>
                <w:sz w:val="21"/>
                <w:szCs w:val="21"/>
              </w:rPr>
              <w:t xml:space="preserve">self-identify as ready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1"/>
                <w:szCs w:val="21"/>
              </w:rPr>
              <w:t xml:space="preserve">.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20"/>
                <w:szCs w:val="20"/>
              </w:rPr>
              <w:t xml:space="preserve">Because it is by far the most detailed pillar — 80+ discrete assets across ten groups — it is specified here rather than in the one-page overview.</w:t>
            </w:r>
          </w:p>
        </w:tc>
      </w:tr>
    </w:tbl>
    <w:p>
      <w:pPr>
        <w:spacing w:after="80" w:before="28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F3A5F"/>
          <w:sz w:val="19"/>
          <w:szCs w:val="19"/>
        </w:rPr>
        <w:t xml:space="preserve">HOW THE CONTENT OS FEEDS EVERY OTHER PILLAR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C9D3DB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Messaging &amp; Brand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is the source; Content turns the blueprint into published assets.</w:t>
            </w:r>
          </w:p>
        </w:tc>
      </w:tr>
      <w:tr>
        <w:tc>
          <w:tcPr>
            <w:tcW w:type="dxa" w:w="26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Outreach</w:t>
            </w:r>
          </w:p>
        </w:tc>
        <w:tc>
          <w:tcPr>
            <w:tcW w:type="dxa" w:w="67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runs on sequences, one-pagers and use-case links from here.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Spin Sell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closes with the story deck, ROI calculator, battlecards and scripts.</w:t>
            </w:r>
          </w:p>
        </w:tc>
      </w:tr>
      <w:tr>
        <w:tc>
          <w:tcPr>
            <w:tcW w:type="dxa" w:w="26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Customer Journey</w:t>
            </w:r>
          </w:p>
        </w:tc>
        <w:tc>
          <w:tcPr>
            <w:tcW w:type="dxa" w:w="67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activates trials with onboarding, guides and walkthroughs.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Partnerships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equips partners with co-sell decks, briefs and case studies.</w:t>
            </w:r>
          </w:p>
        </w:tc>
      </w:tr>
      <w:tr>
        <w:tc>
          <w:tcPr>
            <w:tcW w:type="dxa" w:w="26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Traffic</w:t>
            </w:r>
          </w:p>
        </w:tc>
        <w:tc>
          <w:tcPr>
            <w:tcW w:type="dxa" w:w="67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converts spend via landing pages, SEO/GEO blog and lead magnets.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Social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is fed daily by the Discovery content group.</w:t>
            </w:r>
          </w:p>
        </w:tc>
      </w:tr>
      <w:tr>
        <w:tc>
          <w:tcPr>
            <w:tcW w:type="dxa" w:w="26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9"/>
                <w:szCs w:val="19"/>
              </w:rPr>
              <w:t xml:space="preserve">Events</w:t>
            </w:r>
          </w:p>
        </w:tc>
        <w:tc>
          <w:tcPr>
            <w:tcW w:type="dxa" w:w="67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9"/>
                <w:szCs w:val="19"/>
              </w:rPr>
              <w:t xml:space="preserve">are anchored by the TED talk, masterclass and workshops.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B6472"/>
          <w:sz w:val="19"/>
          <w:szCs w:val="19"/>
        </w:rPr>
        <w:t xml:space="preserve">Two foundational listening systems —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A5F"/>
          <w:sz w:val="19"/>
          <w:szCs w:val="19"/>
        </w:rPr>
        <w:t xml:space="preserve">Social listening 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B6472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A5F"/>
          <w:sz w:val="19"/>
          <w:szCs w:val="19"/>
        </w:rPr>
        <w:t xml:space="preserve">Market scan 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B6472"/>
          <w:sz w:val="19"/>
          <w:szCs w:val="19"/>
        </w:rPr>
        <w:t xml:space="preserve"> — run underneath all of the above, keeping the “who” and “why” continuously up to date.</w:t>
      </w:r>
    </w:p>
    <w:p>
      <w:r>
        <w:br w:type="page"/>
      </w:r>
    </w:p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Social listening OS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2"/>
          <w:sz w:val="16"/>
          <w:szCs w:val="16"/>
        </w:rPr>
        <w:t xml:space="preserve"/>
      </w:r>
    </w:p>
    <w:p>
      <w:pPr>
        <w:keepNext/>
        <w:pBdr>
          <w:bottom w:val="single" w:color="C9D3DB" w:sz="6" w:space="4"/>
        </w:pBd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16"/>
          <w:szCs w:val="16"/>
        </w:rPr>
        <w:t xml:space="preserve">How it answers “who is ready, and why?”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8"/>
          <w:szCs w:val="18"/>
        </w:rPr>
        <w:t xml:space="preserve">Detects readiness triggers in the wild — it surfaces who is voicing the problem right now, and in what words, before they ever reach the funnel.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2560"/>
        <w:gridCol w:w="3400"/>
        <w:gridCol w:w="3400"/>
      </w:tblGrid>
      <w:tr>
        <w:trPr>
          <w:tblHeader/>
        </w:trPr>
        <w:tc>
          <w:tcPr>
            <w:tcW w:type="dxa" w:w="25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 / element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Build brief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Keyword &amp; topic monitors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Track the problem language, not just the brand — that is where unaware-but-ready buyers appear.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Set up monitors on the segment/trigger keywords from the Messaging blueprint across LinkedIn, X, Reddit, communities.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Competitor &amp; category mentions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Switch-intent and complaints about incumbents are high-readiness signals.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Alert on competitor names + churn/frustration terms; route hot mentions to Outreach.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Community &amp; forum listening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B6472"/>
                <w:sz w:val="15"/>
                <w:szCs w:val="15"/>
              </w:rPr>
              <w:t xml:space="preserve">Reddit, LinkedIn, Slack/Discord groups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Communities reveal the real vocabulary and objections of each segment.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Join the 5–10 communities where the ICP gathers; log recurring themes.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Trigger alerts → Outreach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Listening only pays off if signals become action within hours.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Wire alerts into the Signals OS so named accounts flow to list building.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Sentiment &amp; theme synthesis → Messaging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Aggregated themes keep the “why” grounded in live language.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Monthly synthesis feeding the Messaging blueprint and Content backlog.</w:t>
            </w:r>
          </w:p>
        </w:tc>
      </w:tr>
    </w:tbl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Market scan OS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2"/>
          <w:sz w:val="16"/>
          <w:szCs w:val="16"/>
        </w:rPr>
        <w:t xml:space="preserve"/>
      </w:r>
    </w:p>
    <w:p>
      <w:pPr>
        <w:keepNext/>
        <w:pBdr>
          <w:bottom w:val="single" w:color="C9D3DB" w:sz="6" w:space="4"/>
        </w:pBd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16"/>
          <w:szCs w:val="16"/>
        </w:rPr>
        <w:t xml:space="preserve">How it answers “who is ready, and why?”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8"/>
          <w:szCs w:val="18"/>
        </w:rPr>
        <w:t xml:space="preserve">Keeps the “why” sharp and current — it ensures Plansom’s differentiation and readiness triggers stay ahead of a moving competitive and category landscape.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2560"/>
        <w:gridCol w:w="3400"/>
        <w:gridCol w:w="3400"/>
      </w:tblGrid>
      <w:tr>
        <w:trPr>
          <w:tblHeader/>
        </w:trPr>
        <w:tc>
          <w:tcPr>
            <w:tcW w:type="dxa" w:w="25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 / element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Build brief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Competitor teardowns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Positioning drifts as competitors move; a cadence prevents stale claims.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Quarterly teardown of the top 3–5 competitors (positioning, pricing, GTM).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Category &amp; trend tracking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B6472"/>
                <w:sz w:val="15"/>
                <w:szCs w:val="15"/>
              </w:rPr>
              <w:t xml:space="preserve">AI planning, execution, OKRs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Category narrative shapes which triggers are rising.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Maintain a living trends board; feed the founder POV and Discovery content.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Win/loss synthesis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The truest source of why buyers are (or aren’t) ready.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Structured win/loss capture from Spin Sell; synthesise monthly.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Pricing &amp; packaging benchmarks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Pricing clarity is a common trial blocker; benchmark to de-risk.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Track competitor pricing; inform the pricing page and ROI logic.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Feature-gap map → Product/Messaging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Gaps and strengths dictate honest, winnable positioning.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Maintain a gap map; route to Product roadmap and battlecards.</w:t>
            </w:r>
          </w:p>
        </w:tc>
      </w:tr>
    </w:tbl>
    <w:p>
      <w:r>
        <w:br w:type="page"/>
      </w:r>
    </w:p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Website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2"/>
          <w:sz w:val="16"/>
          <w:szCs w:val="16"/>
        </w:rPr>
        <w:t xml:space="preserve">   12 pages</w:t>
      </w:r>
    </w:p>
    <w:p>
      <w:pPr>
        <w:keepNext/>
        <w:pBdr>
          <w:bottom w:val="single" w:color="C9D3DB" w:sz="6" w:space="4"/>
        </w:pBd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16"/>
          <w:szCs w:val="16"/>
        </w:rPr>
        <w:t xml:space="preserve">How it answers “who is ready, and why?”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8"/>
          <w:szCs w:val="18"/>
        </w:rPr>
        <w:t xml:space="preserve">The always-on destination where every “why” lives and prospects self-qualify — the hub every other pillar routes traffic to.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2560"/>
        <w:gridCol w:w="3400"/>
        <w:gridCol w:w="3400"/>
      </w:tblGrid>
      <w:tr>
        <w:trPr>
          <w:tblHeader/>
        </w:trPr>
        <w:tc>
          <w:tcPr>
            <w:tcW w:type="dxa" w:w="25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 / element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Build brief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Homepage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Must pass the 5-second “is this for me / what is it” test for the primary segment.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Lead with the core narrative + primary use case; one strong CTA (start trial).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Key use-case pages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One page per high-readiness segment, mirroring that segment’s trigger language.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Template once; build the top 3 segments first; link each to its use-case story.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Skills / playbooks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Showcases the agent skills that deliver value — the proof of “how.”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 library page per skill/playbook framed by the outcome it produces.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Product / Features pages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Frame features as outcomes and jobs-to-be-done, not specs.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Group by job; every feature ties back to a “why.”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Pricing page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Pricing clarity reduces trial friction; reflect the ~10-seat team model.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Simple tiers + FAQ + clear CTA; align with ROI calculator.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About page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Founder story builds the trust that founder-led GTM depends on.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Mission, team, traction, and the origin “why.”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FAQ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Pre-empt the top objections surfaced in the Objection-handling doc.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Keep synced with the live objections list from Spin Sell.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Blog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The home of the SEO/GEO engine and thought leadership.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Hub-and-spoke structure with a clear category taxonomy.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Investors page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Supports the fundraising narrative and inbound investor interest.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Key metrics, vision, and a deck-request path.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Hiring page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Talent brand compounds as the team scales.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Values, culture, and open roles.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Security / compliance page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Unblocks larger, ready buyers with security requirements.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Document data handling; publish a certifications roadmap.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Cookies &amp; privacy page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Legal baseline for ads and tracking (ties to the Traffic Tracking OS).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Policy + consent banner aligned to ad-platform requirements.</w:t>
            </w:r>
          </w:p>
        </w:tc>
      </w:tr>
    </w:tbl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Core use-case stories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2"/>
          <w:sz w:val="16"/>
          <w:szCs w:val="16"/>
        </w:rPr>
        <w:t xml:space="preserve">   main page + 10 use cases</w:t>
      </w:r>
    </w:p>
    <w:p>
      <w:pPr>
        <w:keepNext/>
        <w:pBdr>
          <w:bottom w:val="single" w:color="C9D3DB" w:sz="6" w:space="4"/>
        </w:pBd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16"/>
          <w:szCs w:val="16"/>
        </w:rPr>
        <w:t xml:space="preserve">How it answers “who is ready, and why?”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8"/>
          <w:szCs w:val="18"/>
        </w:rPr>
        <w:t xml:space="preserve">The strongest self-identification device in the system — each story lets a specific segment recognise its own trigger in a concrete narrative, so the reader concludes “this is me, and I’m ready.”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2560"/>
        <w:gridCol w:w="3400"/>
        <w:gridCol w:w="3400"/>
      </w:tblGrid>
      <w:tr>
        <w:trPr>
          <w:tblHeader/>
        </w:trPr>
        <w:tc>
          <w:tcPr>
            <w:tcW w:type="dxa" w:w="25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 / element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Build brief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Main use-case page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Acts as the router that sends each visitor to their own story.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Overview page linking all use cases, segmented by role/trigger.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Use cases 1–10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B6472"/>
                <w:sz w:val="15"/>
                <w:szCs w:val="15"/>
              </w:rPr>
              <w:t xml:space="preserve">produced in priority order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Prioritise by segment readiness and volume; every story follows trigger → pain → Plansom → measurable outcome, with proof.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Write one repeatable story template; produce highest-readiness segments first; pair each with a website use-case page and a landing page.</w:t>
            </w:r>
          </w:p>
        </w:tc>
      </w:tr>
    </w:tbl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24"/>
          <w:szCs w:val="24"/>
        </w:rPr>
        <w:t xml:space="preserve">5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Growth enablement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2"/>
          <w:sz w:val="16"/>
          <w:szCs w:val="16"/>
        </w:rPr>
        <w:t xml:space="preserve">   9 assets</w:t>
      </w:r>
    </w:p>
    <w:p>
      <w:pPr>
        <w:keepNext/>
        <w:pBdr>
          <w:bottom w:val="single" w:color="C9D3DB" w:sz="6" w:space="4"/>
        </w:pBd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16"/>
          <w:szCs w:val="16"/>
        </w:rPr>
        <w:t xml:space="preserve">How it answers “who is ready, and why?”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8"/>
          <w:szCs w:val="18"/>
        </w:rPr>
        <w:t xml:space="preserve">Arms Spin Sell and Outreach to convert identified readiness into trials — it turns the “why” into the tools that close.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2560"/>
        <w:gridCol w:w="3400"/>
        <w:gridCol w:w="3400"/>
      </w:tblGrid>
      <w:tr>
        <w:trPr>
          <w:tblHeader/>
        </w:trPr>
        <w:tc>
          <w:tcPr>
            <w:tcW w:type="dxa" w:w="25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 / element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Build brief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Clarity checks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Internal QA that every asset passes the “who/why” clarity bar before publish.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 short checklist applied to every Content OS output.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Story deck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The narrative spine for demos and pitches.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One modular master deck; slides reused across contexts.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One-pagers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Leave-behinds tuned per segment.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Template derived from the story deck; one per priority segment.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ROI calculator (copy + logic)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Quantifies the “implication” step of SPIN; ground logic in licence/funnel economics.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Build a simple, transparent model + copy; validate assumptions with real deals.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Battlecards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One per top competitor from the Market scan OS.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Positioning, landmines, and proof of wins; keep current.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Objection-handling doc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Feeds both the FAQ and follow-up sequences.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Living doc sourced from real Spin Sell calls.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Sales scripts / talk tracks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Encode the SPIN question sequence so it scales beyond the founders.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Per segment and per funnel stage.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Outreach &amp; follow-up sequences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Shared asset with the Outreach OS — consistency across channels.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Templated cadences per segment; version against reply data.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Proposal / quote templates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Speed-to-proposal is a late-stage conversion lever.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Standard template with configurable pricing blocks.</w:t>
            </w:r>
          </w:p>
        </w:tc>
      </w:tr>
    </w:tbl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24"/>
          <w:szCs w:val="24"/>
        </w:rPr>
        <w:t xml:space="preserve">6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Lead generation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2"/>
          <w:sz w:val="16"/>
          <w:szCs w:val="16"/>
        </w:rPr>
        <w:t xml:space="preserve">   5 landing pages + 5 lead magnets</w:t>
      </w:r>
    </w:p>
    <w:p>
      <w:pPr>
        <w:keepNext/>
        <w:pBdr>
          <w:bottom w:val="single" w:color="C9D3DB" w:sz="6" w:space="4"/>
        </w:pBd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16"/>
          <w:szCs w:val="16"/>
        </w:rPr>
        <w:t xml:space="preserve">How it answers “who is ready, and why?”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8"/>
          <w:szCs w:val="18"/>
        </w:rPr>
        <w:t xml:space="preserve">Captures ready demand and converts anonymous intent into known leads — the bridge from Traffic/Ads into the funnel.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2560"/>
        <w:gridCol w:w="3400"/>
        <w:gridCol w:w="3400"/>
      </w:tblGrid>
      <w:tr>
        <w:trPr>
          <w:tblHeader/>
        </w:trPr>
        <w:tc>
          <w:tcPr>
            <w:tcW w:type="dxa" w:w="25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 / element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Build brief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Landing pages 1–5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B6472"/>
                <w:sz w:val="15"/>
                <w:szCs w:val="15"/>
              </w:rPr>
              <w:t xml:space="preserve">one per active campaign/segment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Strict message-match to the ad or source; a single message and one CTA per page.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Build a conversion template; ship one per active campaign; wire all to the Tracking OS.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Lead magnets 1–5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B6472"/>
                <w:sz w:val="15"/>
                <w:szCs w:val="15"/>
              </w:rPr>
              <w:t xml:space="preserve">template · benchmark · guide · tool · assessment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Each magnet must map to a specific segment’s trigger to attract ready (not merely curious) leads.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Produce the highest-intent magnet first; gate appropriately and route to nurture.</w:t>
            </w:r>
          </w:p>
        </w:tc>
      </w:tr>
    </w:tbl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24"/>
          <w:szCs w:val="24"/>
        </w:rPr>
        <w:t xml:space="preserve">7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Product communication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2"/>
          <w:sz w:val="16"/>
          <w:szCs w:val="16"/>
        </w:rPr>
        <w:t xml:space="preserve">   5 assets</w:t>
      </w:r>
    </w:p>
    <w:p>
      <w:pPr>
        <w:keepNext/>
        <w:pBdr>
          <w:bottom w:val="single" w:color="C9D3DB" w:sz="6" w:space="4"/>
        </w:pBd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16"/>
          <w:szCs w:val="16"/>
        </w:rPr>
        <w:t xml:space="preserve">How it answers “who is ready, and why?”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8"/>
          <w:szCs w:val="18"/>
        </w:rPr>
        <w:t xml:space="preserve">Turns “ready” trials into activated, paying users — it drives the trial→activation→purchase conversion the Customer Journey pillar owns.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2560"/>
        <w:gridCol w:w="3400"/>
        <w:gridCol w:w="3400"/>
      </w:tblGrid>
      <w:tr>
        <w:trPr>
          <w:tblHeader/>
        </w:trPr>
        <w:tc>
          <w:tcPr>
            <w:tcW w:type="dxa" w:w="25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 / element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Build brief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Onboarding guide &amp; comms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Directly drives the activation milestone; the highest-leverage asset here.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In-app guidance + a behaviour-triggered email sequence.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Release notes / launches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Re-engages trials and customers and signals momentum.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Regular cadence across in-app, email, and social.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Product guides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Reduce support load and deepen usage/expansion.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Structured, searchable docs per feature area.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How-to guides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Task-level help mapped to activation-critical workflows.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One per key workflow; link from in-app.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Product video walkthroughs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Often the fastest path to the “aha” moment.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Short videos, one per core use case.</w:t>
            </w:r>
          </w:p>
        </w:tc>
      </w:tr>
    </w:tbl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24"/>
          <w:szCs w:val="24"/>
        </w:rPr>
        <w:t xml:space="preserve">8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Partner enablement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2"/>
          <w:sz w:val="16"/>
          <w:szCs w:val="16"/>
        </w:rPr>
        <w:t xml:space="preserve">   10 assets</w:t>
      </w:r>
    </w:p>
    <w:p>
      <w:pPr>
        <w:keepNext/>
        <w:pBdr>
          <w:bottom w:val="single" w:color="C9D3DB" w:sz="6" w:space="4"/>
        </w:pBd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16"/>
          <w:szCs w:val="16"/>
        </w:rPr>
        <w:t xml:space="preserve">How it answers “who is ready, and why?”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8"/>
          <w:szCs w:val="18"/>
        </w:rPr>
        <w:t xml:space="preserve">Lets partners carry the “why” credibly to audiences who already trust them — it makes the Partnerships pillar’s borrowed distribution actually convert.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2560"/>
        <w:gridCol w:w="3400"/>
        <w:gridCol w:w="3400"/>
      </w:tblGrid>
      <w:tr>
        <w:trPr>
          <w:tblHeader/>
        </w:trPr>
        <w:tc>
          <w:tcPr>
            <w:tcW w:type="dxa" w:w="25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 / element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Build brief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Partner one-pager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The quick pitch partners use to introduce Plansom.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Concise value + ICP + how-to-refer.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Co-sell deck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Enables joint sales conversations.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Modular deck co-brandable per partner.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Joint value prop / solution brief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Articulates why Plansom + partner is better together.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One brief per strategic partner.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Partner onboarding kit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Ramp speed determines partner activation quality.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Step-by-step kit + checklist for new partners.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Deal reg / referral process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Clean attribution (ties to PartnerStack OS) prevents channel conflict.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Documented process wired to the referral tracking.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Partner FAQ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Reduces partner friction and support load.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Cover commercials, process, and product basics.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Co-branded case studies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Proof tuned to the partner’s audience.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Produce with the Advisory Board / top partners.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Enablement training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Certified partners sell more accurately.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Short training + certification per partner tier.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Partner portal content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Self-serve assets keep partners active without hand-holding.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Central library of the assets above.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Co-marketing guidelines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Keeps joint campaigns brand-safe.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Light brand + campaign playbook for partners.</w:t>
            </w:r>
          </w:p>
        </w:tc>
      </w:tr>
    </w:tbl>
    <w:p>
      <w:r>
        <w:br w:type="page"/>
      </w:r>
    </w:p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24"/>
          <w:szCs w:val="24"/>
        </w:rPr>
        <w:t xml:space="preserve">9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Discovery content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2"/>
          <w:sz w:val="16"/>
          <w:szCs w:val="16"/>
        </w:rPr>
        <w:t xml:space="preserve">   15 channels / formats</w:t>
      </w:r>
    </w:p>
    <w:p>
      <w:pPr>
        <w:keepNext/>
        <w:pBdr>
          <w:bottom w:val="single" w:color="C9D3DB" w:sz="6" w:space="4"/>
        </w:pBd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16"/>
          <w:szCs w:val="16"/>
        </w:rPr>
        <w:t xml:space="preserve">How it answers “who is ready, and why?”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8"/>
          <w:szCs w:val="18"/>
        </w:rPr>
        <w:t xml:space="preserve">Creates and captures demand so future-ready buyers discover Plansom early and remember it when their trigger fires — the top-of-funnel engine for the Social and Traffic pillars.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2560"/>
        <w:gridCol w:w="3400"/>
        <w:gridCol w:w="3400"/>
      </w:tblGrid>
      <w:tr>
        <w:trPr>
          <w:tblHeader/>
        </w:trPr>
        <w:tc>
          <w:tcPr>
            <w:tcW w:type="dxa" w:w="25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 / element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Build brief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Newsletter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Owned audience you control end-to-end.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Weekly/biweekly; repurpose best-performing content.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Blog articles (SEO + GEO)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The compounding organic engine; write for both search and AI citation.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Publish on a steady cadence against the keyword map.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Company LinkedIn posts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Primary B2B distribution channel.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Consistent cadence from the content calendar.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Founder 1 executive presence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Founder-led content outperforms brand at this stage.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Weekly POV posts; a clear personal narrative.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Founder 2 executive presence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 second founder voice widens reach and credibility.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Distinct angle from Founder 1; steady cadence.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X (company) posts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Reaches the startup/tech-native segment.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Repurpose LinkedIn + real-time commentary.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Founder 1 X posts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Builds founder authority in the X ecosystem.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Threads and POV tied to the category narrative.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Short-form video scripts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Highest organic reach format across platforms.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Scripts repurposed to LinkedIn, X, YouTube, Instagram.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Guest posts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Borrowed audiences + backlinks (helps SEO).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Target publications the ICP already reads.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Podcast (notes / scripts)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Deep trust format; strong for founder-led GTM.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Guesting first, then owned show if it earns it.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Co-hosted webinar (both founders)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High-intent lead source with built-in nurture.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Quarterly; gate registration into lead gen.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Solo founder webinar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Lighter-weight, more frequent demand moment.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Monthly on a single sharp topic.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Influencer / user webinar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Third-party credibility accelerates readiness.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Co-host with respected users/partners.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YouTube channel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Compounding search + long-form trust.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Home for walkthroughs, talks, and repurposed video.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Instagram channel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Broadens reach; strong for short-form and brand.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Repurpose short-form video and visual snippets.</w:t>
            </w:r>
          </w:p>
        </w:tc>
      </w:tr>
    </w:tbl>
    <w:p>
      <w:pPr>
        <w:keepNext/>
        <w:spacing w:after="20" w:before="2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24"/>
          <w:szCs w:val="24"/>
        </w:rPr>
        <w:t xml:space="preserve">10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A5F"/>
          <w:sz w:val="24"/>
          <w:szCs w:val="24"/>
        </w:rPr>
        <w:t xml:space="preserve">Events &amp; workshops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B6472"/>
          <w:sz w:val="16"/>
          <w:szCs w:val="16"/>
        </w:rPr>
        <w:t xml:space="preserve">   3 formats</w:t>
      </w:r>
    </w:p>
    <w:p>
      <w:pPr>
        <w:keepNext/>
        <w:pBdr>
          <w:bottom w:val="single" w:color="C9D3DB" w:sz="6" w:space="4"/>
        </w:pBd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C86"/>
          <w:sz w:val="16"/>
          <w:szCs w:val="16"/>
        </w:rPr>
        <w:t xml:space="preserve">How it answers “who is ready, and why?”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22222"/>
          <w:sz w:val="18"/>
          <w:szCs w:val="18"/>
        </w:rPr>
        <w:t xml:space="preserve">Flagship moments that concentrate ready buyers and build category authority — the highest-signal, highest-trust demand generators.</w:t>
      </w:r>
    </w:p>
    <w:tbl>
      <w:tblPr>
        <w:tblW w:type="dxa" w:w="9360"/>
        <w:tblBorders>
          <w:top w:val="single" w:color="C9D3DB" w:sz="2"/>
          <w:left w:val="none"/>
          <w:bottom w:val="single" w:color="C9D3DB" w:sz="2"/>
          <w:right w:val="none"/>
          <w:insideH w:val="single" w:color="C9D3DB" w:sz="2"/>
          <w:insideV w:val="single" w:color="C9D3DB" w:sz="2"/>
        </w:tblBorders>
      </w:tblPr>
      <w:tblGrid>
        <w:gridCol w:w="2560"/>
        <w:gridCol w:w="3400"/>
        <w:gridCol w:w="3400"/>
      </w:tblGrid>
      <w:tr>
        <w:trPr>
          <w:tblHeader/>
        </w:trPr>
        <w:tc>
          <w:tcPr>
            <w:tcW w:type="dxa" w:w="25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Sub-component / element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considerations</w:t>
            </w:r>
          </w:p>
        </w:tc>
        <w:tc>
          <w:tcPr>
            <w:tcW w:type="dxa" w:w="34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Build brief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Plansom TED talk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A signature thought-leadership talk that frames the category and the “why.”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Craft one canonical talk; repurpose across channels.</w:t>
            </w:r>
          </w:p>
        </w:tc>
      </w:tr>
      <w:tr>
        <w:tc>
          <w:tcPr>
            <w:tcW w:type="dxa" w:w="256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Plansom masterclass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Teaching the methodology generates highly qualified leads.</w:t>
            </w:r>
          </w:p>
        </w:tc>
        <w:tc>
          <w:tcPr>
            <w:tcW w:type="dxa" w:w="3400"/>
            <w:shd w:fill="F5F7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Structured class with registration into lead gen.</w:t>
            </w:r>
          </w:p>
        </w:tc>
      </w:tr>
      <w:tr>
        <w:tc>
          <w:tcPr>
            <w:tcW w:type="dxa" w:w="2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A5F"/>
                <w:sz w:val="18"/>
                <w:szCs w:val="18"/>
              </w:rPr>
              <w:t xml:space="preserve">Plansom workshops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Hands-on sessions are strong, high-intent conversion moments.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22222"/>
                <w:sz w:val="18"/>
                <w:szCs w:val="18"/>
              </w:rPr>
              <w:t xml:space="preserve">Repeatable workshop format run for cohorts/accounts.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Plansom Content Operating System</dc:title>
  <dc:creator>Plansom GTM</dc:creator>
  <cp:lastModifiedBy>Un-named</cp:lastModifiedBy>
  <cp:revision>1</cp:revision>
  <dcterms:created xsi:type="dcterms:W3CDTF">2026-07-29T22:55:40.664Z</dcterms:created>
  <dcterms:modified xsi:type="dcterms:W3CDTF">2026-07-29T22:55:40.665Z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