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E7C86"/>
          <w:sz w:val="20"/>
          <w:szCs w:val="20"/>
        </w:rPr>
        <w:t xml:space="preserve">PLANSOM  ·  GO-TO-MARKET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GTM Pillar Overview</w:t>
      </w:r>
    </w:p>
    <w:p>
      <w:pPr>
        <w:pBdr>
          <w:bottom w:val="single" w:color="0E7C86" w:sz="18" w:space="8"/>
        </w:pBdr>
        <w:spacing w:after="240" w:before="80"/>
      </w:pPr>
      <w:r>
        <w:rPr>
          <w:rFonts w:ascii="Calibri" w:cs="Calibri" w:eastAsia="Calibri" w:hAnsi="Calibri"/>
          <w:i/>
          <w:iCs/>
          <w:color w:val="5B6472"/>
          <w:sz w:val="24"/>
          <w:szCs w:val="24"/>
        </w:rPr>
        <w:t xml:space="preserve">One page per pillar — what each pillar owns, and how it answers the core question</w:t>
      </w:r>
    </w:p>
    <w:tbl>
      <w:tblPr>
        <w:tblW w:type="dxa" w:w="9360"/>
        <w:tblBorders>
          <w:top w:val="none"/>
          <w:left w:val="single" w:color="0E7C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7"/>
                <w:szCs w:val="17"/>
              </w:rPr>
              <w:t xml:space="preserve">THE CORE GTM QUESTION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3A5F"/>
                <w:sz w:val="32"/>
                <w:szCs w:val="32"/>
              </w:rPr>
              <w:t xml:space="preserve">“Who are the people ready to use Plansom today — and why?”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Every pillar in this document exists to answer that question. Each does it in one of four ways — it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defines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the hypothesis of who is ready,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reaches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those people,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qualifies / converts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their readiness into usage, 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expresses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the “why” so they can find it themselves.</w:t>
            </w:r>
          </w:p>
        </w:tc>
      </w:tr>
    </w:tbl>
    <w:p>
      <w:pPr>
        <w:spacing w:after="80" w:before="30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A5F"/>
          <w:sz w:val="19"/>
          <w:szCs w:val="19"/>
        </w:rPr>
        <w:t xml:space="preserve">THE TEN PILLARS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C9D3DB" w:sz="2"/>
          <w:insideV w:val="none"/>
        </w:tblBorders>
      </w:tblPr>
      <w:tblGrid>
        <w:gridCol w:w="700"/>
        <w:gridCol w:w="5600"/>
        <w:gridCol w:w="3060"/>
      </w:tblGrid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Messaging &amp; Brand System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Define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Content System (Content OS) — companion doc</w:t>
            </w:r>
          </w:p>
        </w:tc>
        <w:tc>
          <w:tcPr>
            <w:tcW w:type="dxa" w:w="30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Express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Outreach System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Reach &amp; test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Spin Sell System</w:t>
            </w:r>
          </w:p>
        </w:tc>
        <w:tc>
          <w:tcPr>
            <w:tcW w:type="dxa" w:w="30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Qualify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Customer Journey System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Convert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Customer Advisory Board</w:t>
            </w:r>
          </w:p>
        </w:tc>
        <w:tc>
          <w:tcPr>
            <w:tcW w:type="dxa" w:w="30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Define · TBC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Accelerators &amp; Events System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Reach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Partnerships &amp; Directories System</w:t>
            </w:r>
          </w:p>
        </w:tc>
        <w:tc>
          <w:tcPr>
            <w:tcW w:type="dxa" w:w="30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Reach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Traffic System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Reach &amp; capture</w:t>
            </w:r>
          </w:p>
        </w:tc>
      </w:tr>
      <w:tr>
        <w:tc>
          <w:tcPr>
            <w:tcW w:type="dxa" w:w="7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7C86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Social Media System</w:t>
            </w:r>
          </w:p>
        </w:tc>
        <w:tc>
          <w:tcPr>
            <w:tcW w:type="dxa" w:w="30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5B6472"/>
                <w:sz w:val="18"/>
                <w:szCs w:val="18"/>
              </w:rPr>
              <w:t xml:space="preserve">Demand · TBC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18"/>
          <w:szCs w:val="18"/>
        </w:rPr>
        <w:t xml:space="preserve">Note on order: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2"/>
          <w:sz w:val="18"/>
          <w:szCs w:val="18"/>
        </w:rPr>
        <w:t xml:space="preserve">  the Content System is the most detailed pillar, so it is placed last here and specified fully in the companion document,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8"/>
          <w:szCs w:val="18"/>
        </w:rPr>
        <w:t xml:space="preserve">“Plansom Content Operating System.”</w:t>
      </w:r>
    </w:p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01  ·  DEFINE the hypothesis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Messaging &amp; Brand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This pillar is where the answer is first written down.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It converts a vague market into a short list of named segments, each paired with the specific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trigger event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that makes that segment ready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now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new funding, a leadership change, tool sprawl, a missed quarter — and the pain that trigger creates.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Every other pillar inherits its targeting and its “why” from here. Messaging produces the hypotheses that Outreach and Traffic test in-market, and the language that Content expresses. If this is vague, the whole engine chases the wrong people at scale.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Messaging blueprint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ICP &amp; segment definitions (who)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“Ready-now” trigger event per segment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Pain → value map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Positioning &amp; category POV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Proof points &amp; differentiators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Message hierarchy: one-liner → elevator → full narrative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Anchor every segment to an observable trigger Outreach can actually target; separate “ready now” from “good fit but dormant.”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Draft v1 from founder intuition + your first customers, publish as one source-of-truth doc, then version it quarterly against Outreach reply data and the Advisory Board.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Brand guidelines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Visual identity (logo, colour, type)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Voice &amp; tone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 / don’t rules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Templates &amp; asset library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Keep it lightweight at this stage — enough for consistency across Content, not a full rebrand. Founder-led voice matters more than polish.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Ship a one-pager plus a template kit (Figma/Canva); enforce it through the Content OS.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Ownership tree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RACI per GTM component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Single DRI for messaging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Review cadence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Messaging drift is the most common GTM failure mode; one named owner prevents it.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Map ownership onto the team and embed the review in the weekly Marketing check-in.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Resource &amp; capacity tree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Headcount / agency map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Budget by stream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Tooling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Capacity per channel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Tie capacity directly to funnel targets (5 LinkedIn accounts, 170 inboxes, etc.) so plans stay physically achievable.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a simple capacity model; revisit monthly against KPI actuals.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03  ·  REACH &amp; TEST at scale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Outreach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Outreach is the fastest, most direct instrument for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testing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who is ready. It puts the messaging hypothesis in front of thousands of named, targeted prospects every month and treats their responses as the readiness signal: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a reply and a booked meeting is the market telling you this person is ready, and revealing the “why.”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It is also the cheapest evidence you can buy — roughly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$43 per meeting on LinkedIn and $49 on email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. The model targets ~250 meetings/month → ~125 trials, and feeds validated segment learning straight back into Messaging.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Outreach process definition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Channel sequencing &amp; cadences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SLAs and handoff to Spin Sell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“Qualified meeting” bar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Define what counts as a qualified meeting before scaling, or you optimise for noise.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Document the end-to-end play; make it the single reference for the whole team.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List building OS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ICP filters tied to Messaging segments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Data sources (Apollo et al.)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Enrichment, dedupe, QA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List quality drives every downstream number; filters must map 1:1 to the segment triggers.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repeatable, named list recipes per segment.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Signals 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Trigger signals: funding, hiring, job changes, tech installs, site visits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Signal → list routing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Signals are the sharpest “ready-now” proxy you have — prioritise them over cold lists.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Wire signal sources into list building so hot accounts surface automatically.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CRM system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Pipeline stages matching the funnel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Data model &amp; activity logging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Attribution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source of truth; stages must mirror the funnel model exactly.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Select and configure the CRM early; retrofitting attribution later is painful.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Tech stack spec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Sending infra: 170 inboxes, domains, warm-up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LinkedIn: 5× Sales Nav + agency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Sequencer &amp; deliverability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Domain health and deliverability are existential — one reputation hit zeroes the channel.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Document the stack and monitor deliverability as a standing KPI.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Reporting dashboard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Per-channel KPIs: connect, reply, yes, meetings, CPM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Cohort views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Mirror the LinkedIn &amp; Email OS math so forecast and actuals are comparable.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Stand up a live dashboard fed from the CRM.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Email 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170 inboxes × 30 sends × 20 days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 follow-ups → ~34k sends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1% reply × 30% positive → ~102 meetings/mo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Output is volume × deliverability; protecting reputation beats raising volume.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Scale inbox count carefully with warm-up; guard sender reputation.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LinkedIn OS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750 connects/mo @ 50% → DMs, follow-ups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150 InMails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~125 meetings across 5 accounts (15% correction)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Respect account safety limits; over-automation gets accounts flagged.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Run 5 accounts with agency support; treat limits as hard constraints.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Ownership &amp; capacity trees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DRI per channel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Agency vs. in-house split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Capacity vs. targets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This is the most operationally heavy pillar — clear ownership is non-negotiable.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Assign DRIs per channel; review load in the weekly Marketing check-in.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04  ·  QUALIFY readiness live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Spin Sell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This is where “ready?” gets answered in a real conversation.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SPIN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Situation, Problem, Implication, Need-payoff — is a diagnostic method: it surfaces the prospect’s actual situation and pain, quantifies the cost of not solving it, and lets the prospect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articulate the value themselves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, which is the truest test of readiness and the clearest capture of the “why.”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It converts the meetings Outreach books into qualified trials — the model’s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meeting→trial target is 50%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and disqualifies the not-ready quickly so effort concentrates where readiness is real.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Spin sell process documentation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Discovery framework &amp; SPIN question bank per segment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Qualification criteria (BANT / MEDDIC-lite)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Disqualification rules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Readiness = trigger + a pain-owner with authority; make that the explicit bar.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Write the playbook and script the SPIN sequence per segment.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Collateral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Demo script &amp; story deck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One-pagers, ROI calculator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Battlecards, objection-handling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Assets are authored in the Content OS; this pillar owns using the right one at the right stage.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Assemble a stage-mapped kit; keep it in sync with Content OS versions.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Follow up sequence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Post-meeting nurture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Trial-activation nudges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Multi-threading the account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Speed-to-follow-up is the single biggest conversion lever after the meeting.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Templatise and automate; trigger the moment a meeting ends.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Agents setup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AI note-taker &amp; CRM auto-logging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Follow-up drafting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Call scoring / coaching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Use Plansom’s own agents to let a small team run an enterprise-grade motion.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Configure agents to remove admin so reps stay in conversations.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Ownership &amp; capacity trees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DRI for the sales motion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Rep capacity vs. meeting volume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Meeting supply from Outreach must match Spin Sell capacity or trials leak.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 capacity against the ~250 meetings/mo target.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05  ·  CONVERT readiness into usage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Customer Journey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Being “ready” only matters if it turns into active usage.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This pillar owns the path from trial → activated customer → expansion, ensuring the people the rest of the engine identified as ready actually reach value and buy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(targets: trial→purchase 20%, ~10 licences/customer, and a 20% plan-sharing loop that compounds growth).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It also validates the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real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definition of readiness: the users who activate fastest reveal the truest “ready” profile, which flows back to Messaging and the Advisory Board.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Journey process documentation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Lifecycle stages: trial → activate → convert → expand → advocate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Activation milestones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Health scoring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Define the single “aha” / activation event first — everything else optimises toward it.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Map the journey end-to-end and instrument every stage.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Funnel OS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Conversion model (mirrors the funnel sheet)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Stage metrics &amp; leak detection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Cohort analysis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The plan-sharing viral coefficient (0.2) is a distinct growth lever — track it explicitly.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the funnel dashboard; attack the largest leak each month.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Collateral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Onboarding guides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Product &amp; how-to guides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Video walkthroughs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Authored in Content OS; this pillar maps each asset to an activation milestone.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Sequence assets to compress time-to-value.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Follow up sequence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Onboarding comms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Behaviour-triggered activation nudges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Conversion &amp; expansion plays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Trigger on behaviour, not calendar time, to match each user’s pace.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Stand up lifecycle automation keyed to product events.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Agents setup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In-app guidance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Usage-triggered outreach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Churn-risk alerts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Dogfood Plansom’s agents — the journey is itself a proof point.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Configure agents against activation and churn signals.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Ownership &amp; capacity trees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CS / lifecycle DRI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Capacity vs. trial volume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Trial inflow from all channels must be matched by activation capacity.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Size CS capacity to the combined trial target.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06  ·  DEFINE from real users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Customer Advisory Board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This is the highest-signal instrument for sharpening “who is ready and why,” because it asks the people who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already chose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Plansom. A structured board of best-fit customers turns anecdote into a validated readiness profile and a prioritised list of the “whys” that actually convert.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B6472"/>
                <w:sz w:val="20"/>
                <w:szCs w:val="20"/>
              </w:rPr>
              <w:t xml:space="preserve">Currently marked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2"/>
                <w:sz w:val="20"/>
                <w:szCs w:val="20"/>
              </w:rPr>
              <w:t xml:space="preserve">TBC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B6472"/>
                <w:sz w:val="20"/>
                <w:szCs w:val="20"/>
              </w:rPr>
              <w:t xml:space="preserve"> in the plan — the components below are the recommended way to stand it up. It feeds Messaging, Content, and Product with primary evidence.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Membership &amp; charter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Selection criteria: best-fit, high-usage, referenceable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Board size, term &amp; incentives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Charter and confidentiality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Recruit from your earliest fast-activating customers — they embody “ready.”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Recruit 8–12 members; write a light charter and cadence.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Session cadence &amp; agenda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Quarterly sessions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Topic backlog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Readiness / “why” deep-dives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Roadmap input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Capture verbatim language — the words customers use become Messaging copy.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Run structured quarterly sessions with a fixed insight template.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Insight → action loop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Synthesis of sessions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Routing to Messaging / Product / Content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Close the loop with members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board with no action loop quietly dies; assign a DRI to convert insight into changes.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Stand up a simple pipeline from session → owned action → member update.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Advocacy engine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Case studies &amp; references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Referrals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Co-marketing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Bridges into Content and Partnerships — board members become proof and pipeline.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Turn each member into at least one case study and one referral path.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07  ·  REACH concentrated ready pools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Accelerators &amp; Events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Accelerator cohorts and curated events are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dense concentrations of ready-now buyers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teams actively scaling, under pressure to hit goals fast, and unusually open to new tools. A cohort is a pre-packaged batch of prospects whose readiness trigger is firing simultaneously.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Layered with ABM on a small set of key relationships, this pillar reaches those people with warm, high-trust context at the exact moment the “why” is most acute.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List of top accelerators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Tiering by fit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Cohort calendars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Contacts &amp; partnership angle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Each cohort is a batch of ready teams — time outreach to cohort start dates.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a ranked list and a repeatable cohort-outreach play.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List of events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By segment &amp; region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Sponsor vs. speak vs. attend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Annual calendar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Prioritise events where the ICP physically concentrates over big generic ones.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an annual event calendar with a target per event.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ABM list of key relationships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Named high-value accounts, partners, people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Relationship map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Depth over breadth — a handful of relationships can outproduce broad outreach.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the map; assign a named owner per relationship.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Annual plan per ABM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Per-account goals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Touch plan &amp; offers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Success metrics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Treat each key relationship like a mini-campaign with its own plan.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living plan per key relationship, reviewed quarterly.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Plan per event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 / at / post-event plays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Targets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Follow-up workflow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Pipeline is made in the follow-up, not on the day — resource it deliberately.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Templatise the event play so every event runs the same motion.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08  ·  REACH via borrowed trust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Partnerships &amp; Directories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Partners already hold the trust and attention of people who are ready — they sit in the workflow and recommend tools at the moment of need.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This pillar borrows that distribution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to put Plansom in front of in-market buyers cheaply: the model shows ~118 trials/mo from PartnerStack at ~$47/trial, plus ~300/mo from partner programmes.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Directories (G2, Capterra, marketplaces) capture the other end — people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actively comparing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tools, one of the highest-intent readiness signals in the funnel.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PartnerStack enablement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Recruitment: 800 msgs/mo @ 10% × 80% fit → ~64 new + ~20 organic ≈ 84/mo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Onboarding &amp; deal-reg / referral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Commissions &amp; partner content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Traffic capture → ~3,360 visits → ~118 trials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Partner activation quality beats partner count — a few active partners drive most volume.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Stand up the program, an enablement kit, and clean referral tracking.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ABM Partnerships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Strategic / tech / channel targets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Joint value prop &amp; solution brief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Co-sell &amp; co-market plan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few deep integrations beat many shallow logos.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Pick top partners; build a joint plan and integration roadmap with each.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Directories &amp; marketplaces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recommended addition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G2 / Capterra / app marketplaces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Listing optimisation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Review generation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Highest-intent capture in the whole system — buyers here are comparing, not browsing.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Claim and optimise listings; drive reviews from CS and the Advisory Board.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09  ·  REACH &amp; CAPTURE intent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Traffic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Search and intent-driven traffic are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purest readiness signal there 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someone typing the problem into Google, or asking an AI assistant, is telling you they are ready right now. This pillar captures that demand (SEO/GEO) and manufactures it (paid ads), routing both to trials.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Paid delivers ~200 trials/mo (LinkedIn ~62, Meta ~60, Google ~77) at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$233–$480/trial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expensive against outreach, which is why organic SEO/GEO is the long-run margin play.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Tracking 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Analytics &amp; UTMs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Attribution model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Conversion tracking, pixels &amp; consent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Without clean tracking, ad spend is blind — build this before scaling budget.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Implement first; make attribution a prerequisite for spend increases.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Paid ads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LinkedIn: $30k → ~62 trials @ $480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Meta: $14k → ~60 @ $233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Google: $22.5k → ~77 @ $260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Creative &amp; landing pages (Content OS)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Hold CAC discipline against the ~10-seat LTV; kill losers fast, scale winners.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Start small per channel, optimise to CPA targets, then scale the winners.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SEO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Keyword / topic strategy per segment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Technical SEO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Content engine &amp; backlinks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Compounding but slow — start with high-intent bottom-funnel terms for fastest payback.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Prioritise commercial-intent keywords; build the content engine off Content OS.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GEO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generative engine optimisation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Being cited by AI assistants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Structured, citable content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Entity &amp; authority building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Emerging channel with real first-mover advantage as buyers shift to AI search.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Structure content for LLM citation; monitor AI-referral traffic as it grows.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10  ·  BUILD ambient demand &amp; trust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Social Media System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Most of the market is not ready today — but readiness triggers fire unpredictably.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Social (especially founder-led) keeps Plansom top-of-mind so people self-identify as ready the moment their trigger hits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, and makes every other channel convert better because the name is already familiar.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B6472"/>
                <w:sz w:val="20"/>
                <w:szCs w:val="20"/>
              </w:rPr>
              <w:t xml:space="preserve">Currently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2"/>
                <w:sz w:val="20"/>
                <w:szCs w:val="20"/>
              </w:rPr>
              <w:t xml:space="preserve">TBC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B6472"/>
                <w:sz w:val="20"/>
                <w:szCs w:val="20"/>
              </w:rPr>
              <w:t xml:space="preserve"> in the plan; scaffold it from the Content OS “Discovery content” group. It also amplifies the plan-sharing viral loop.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19"/>
          <w:szCs w:val="19"/>
        </w:rPr>
        <w:t xml:space="preserve">Components, sub-components &amp; build briefs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Sub-components</w:t>
            </w:r>
          </w:p>
        </w:tc>
        <w:tc>
          <w:tcPr>
            <w:tcW w:type="dxa" w:w="44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 &amp; build brief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Channel strategy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LinkedIn: company + 2 founders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X: page + founder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YouTube, Instagram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Founder-led accounts consistently outperform brand accounts at this stage.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Pick 1–2 primary channels and go deep rather than spreading thin.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Content &amp; cadence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Post calendar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Formats: short-form video, POV posts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Repurposing from Content OS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Consistency beats volume; a sustainable weekly cadence compounds.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Set a weekly cadence and batch-produce from existing Content OS assets.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Engagement &amp; community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Comment strategy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DMs → pipeline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Community building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Social is a conversation, not a billboard — inbound DMs are warm pipeline.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Define engagement SLAs; route qualified DMs into the CRM.</w:t>
            </w:r>
          </w:p>
        </w:tc>
      </w:tr>
      <w:tr>
        <w:tc>
          <w:tcPr>
            <w:tcW w:type="dxa" w:w="19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Measurement &amp; loop</w:t>
            </w:r>
          </w:p>
        </w:tc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Reach → profile visits → pipeline</w:t>
            </w:r>
          </w:p>
          <w:p>
            <w:pPr>
              <w:spacing w:after="20"/>
              <w:ind w:left="140" w:hanging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7C86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Plan-sharing amplification</w:t>
            </w:r>
          </w:p>
        </w:tc>
        <w:tc>
          <w:tcPr>
            <w:tcW w:type="dxa" w:w="44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Consider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Attribute to pipeline, not vanity metrics, to justify the investment.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6"/>
                <w:szCs w:val="16"/>
              </w:rPr>
              <w:t xml:space="preserve">Build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Track social → trial; feed the best content back into the calendar.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0E7C86"/>
          <w:spacing w:val="30"/>
          <w:sz w:val="16"/>
          <w:szCs w:val="16"/>
        </w:rPr>
        <w:t xml:space="preserve">GTM PILLAR 02  ·  EXPRESS the “why” everywhere</w:t>
      </w:r>
    </w:p>
    <w:p>
      <w:pPr>
        <w:pStyle w:val="Heading1"/>
        <w:pBdr>
          <w:bottom w:val="single" w:color="0E7C86" w:sz="12" w:space="6"/>
        </w:pBd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Content System — Content OS</w:t>
      </w:r>
    </w:p>
    <w:tbl>
      <w:tblPr>
        <w:tblW w:type="dxa" w:w="9360"/>
        <w:tblBorders>
          <w:top w:val="single" w:color="EEF3F6" w:sz="2"/>
          <w:left w:val="single" w:color="0E7C86" w:sz="24"/>
          <w:bottom w:val="single" w:color="EEF3F6" w:sz="2"/>
          <w:right w:val="single" w:color="EEF3F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86"/>
                <w:spacing w:val="20"/>
                <w:sz w:val="17"/>
                <w:szCs w:val="17"/>
              </w:rPr>
              <w:t xml:space="preserve">How this answers “who is ready, and why?”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Content is the connective tissue that makes the “why” legible everywhere.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It doesn’t serve one stage — it arms every pillar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: Messaging becomes assets, Outreach gets sequences, Spin Sell gets decks, ROI calculators and battlecards, the Journey gets onboarding, Partnerships get co-sell kits, Traffic gets landing pages, and Social gets discovery content.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It is also the pillar that lets prospects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0"/>
                <w:szCs w:val="20"/>
              </w:rPr>
              <w:t xml:space="preserve">self-identify as ready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 — a use-case page or lead magnet that names their exact trigger is often what converts a passive reader into a trial.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Because it is by far the most detailed pillar, it is specified in a dedicated companion document,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0"/>
          <w:szCs w:val="20"/>
        </w:rPr>
        <w:t xml:space="preserve">“Plansom Content Operating System.”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 Its ten component groups are: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Component group</w:t>
            </w:r>
          </w:p>
        </w:tc>
        <w:tc>
          <w:tcPr>
            <w:tcW w:type="dxa" w:w="63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Role in answering “who is ready, and why?”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Social listening OS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Monitor conversations to detect live readiness triggers.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Market scan OS</w:t>
            </w:r>
          </w:p>
        </w:tc>
        <w:tc>
          <w:tcPr>
            <w:tcW w:type="dxa" w:w="63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Track market, competitors and category to keep the “why” current.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Website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12 core pages — the always-on home for every “why.”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Core use-case stories</w:t>
            </w:r>
          </w:p>
        </w:tc>
        <w:tc>
          <w:tcPr>
            <w:tcW w:type="dxa" w:w="63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Main page + 10 use cases so prospects find their own trigger.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Growth enablement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Decks, ROI calculator, battlecards, scripts — arms Spin Sell.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Lead generation</w:t>
            </w:r>
          </w:p>
        </w:tc>
        <w:tc>
          <w:tcPr>
            <w:tcW w:type="dxa" w:w="63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5 landing pages + 5 lead magnets to capture ready demand.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Product communication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Onboarding, release notes, guides, walkthroughs for the journey.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Partner enablement</w:t>
            </w:r>
          </w:p>
        </w:tc>
        <w:tc>
          <w:tcPr>
            <w:tcW w:type="dxa" w:w="63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10 assets from one-pager to co-branded case studies.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Discovery content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15 channels/formats — newsletter, blog, founder presence, webinars.</w:t>
            </w:r>
          </w:p>
        </w:tc>
      </w:tr>
      <w:tr>
        <w:tc>
          <w:tcPr>
            <w:tcW w:type="dxa" w:w="30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Events &amp; workshops</w:t>
            </w:r>
          </w:p>
        </w:tc>
        <w:tc>
          <w:tcPr>
            <w:tcW w:type="dxa" w:w="63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TED talk, masterclass, workshops — flagship demand moments.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0E7C86"/>
          <w:sz w:val="19"/>
          <w:szCs w:val="19"/>
        </w:rPr>
        <w:t xml:space="preserve">→ See the companion document for sub-components, key considerations and a build brief for each group.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Plansom GTM — Pillar Overview</dc:title>
  <dc:creator>Plansom GTM</dc:creator>
  <cp:lastModifiedBy>Un-named</cp:lastModifiedBy>
  <cp:revision>1</cp:revision>
  <dcterms:created xsi:type="dcterms:W3CDTF">2026-07-29T22:50:15.362Z</dcterms:created>
  <dcterms:modified xsi:type="dcterms:W3CDTF">2026-07-29T22:50:15.362Z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