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color w:val="9A7B2A"/>
          <w:sz w:val="72"/>
          <w:rFonts w:eastAsia="SimHei"/>
        </w:rPr>
        <w:t>pGOLD  WHITEPAPER</w:t>
      </w:r>
    </w:p>
    <w:p>
      <w:pPr>
        <w:spacing w:before="0" w:after="0"/>
        <w:jc w:val="center"/>
      </w:pPr>
      <w:r>
        <w:rPr>
          <w:color w:val="D4A853"/>
          <w:sz w:val="16"/>
        </w:rPr>
        <w:t>────────────────────────────────────────────────────────────</w:t>
      </w:r>
    </w:p>
    <w:p>
      <w:pPr>
        <w:jc w:val="center"/>
      </w:pPr>
      <w:r>
        <w:rPr>
          <w:rFonts w:ascii="Times New Roman" w:hAnsi="Times New Roman"/>
          <w:i/>
          <w:color w:val="888888"/>
          <w:sz w:val="28"/>
        </w:rPr>
        <w:t>Digital Gold for Global Asset Alchemy</w:t>
      </w:r>
    </w:p>
    <w:p>
      <w:pPr>
        <w:spacing w:before="480"/>
        <w:jc w:val="center"/>
      </w:pPr>
      <w:r>
        <w:rPr>
          <w:rFonts w:ascii="Times New Roman" w:hAnsi="Times New Roman"/>
          <w:color w:val="D4A853"/>
          <w:sz w:val="32"/>
          <w:rFonts w:eastAsia="SimHei"/>
        </w:rPr>
        <w:t>数字黄金驱动的全球资产炼金术</w:t>
      </w:r>
    </w:p>
    <w:p/>
    <w:p/>
    <w:p/>
    <w:p/>
    <w:p>
      <w:pPr>
        <w:spacing w:before="0" w:after="0"/>
        <w:jc w:val="center"/>
      </w:pPr>
      <w:r>
        <w:rPr>
          <w:color w:val="D4A853"/>
          <w:sz w:val="16"/>
        </w:rPr>
        <w:t>────────────────────────────────────────────────────────────</w:t>
      </w:r>
    </w:p>
    <w:p>
      <w:pPr>
        <w:jc w:val="center"/>
      </w:pPr>
      <w:r>
        <w:rPr>
          <w:rFonts w:ascii="Times New Roman" w:hAnsi="Times New Roman"/>
          <w:color w:val="888888"/>
          <w:sz w:val="20"/>
        </w:rPr>
        <w:t>VERSION 3.0   ·   JUNE 2026   ·   CONFIDENTIAL</w:t>
      </w:r>
    </w:p>
    <w:p>
      <w:pPr>
        <w:spacing w:before="320"/>
        <w:jc w:val="center"/>
      </w:pPr>
      <w:r>
        <w:rPr>
          <w:i/>
          <w:color w:val="666666"/>
          <w:sz w:val="16"/>
        </w:rPr>
        <w:t>This whitepaper is for informational purposes only and does not constitute investment advice.</w:t>
      </w:r>
    </w:p>
    <w:p>
      <w:r>
        <w:br w:type="page"/>
      </w:r>
    </w:p>
    <w:p>
      <w:pPr>
        <w:pStyle w:val="Heading2"/>
      </w:pPr>
      <w:r>
        <w:t>TABLE OF CONTENTS</w:t>
      </w:r>
    </w:p>
    <w:p>
      <w:pPr>
        <w:spacing w:before="0" w:after="0"/>
        <w:jc w:val="center"/>
      </w:pPr>
      <w:r>
        <w:rPr>
          <w:color w:val="D4A853"/>
          <w:sz w:val="16"/>
        </w:rPr>
        <w:t>────────────────────────────────────────────────────────────</w:t>
      </w:r>
    </w:p>
    <w:p>
      <w:pPr>
        <w:spacing w:after="120" w:before="80"/>
      </w:pPr>
      <w:r>
        <w:rPr>
          <w:rFonts w:ascii="Times New Roman" w:hAnsi="Times New Roman"/>
          <w:color w:val="444444"/>
          <w:sz w:val="22"/>
        </w:rPr>
        <w:t>I.  Grand Vision: Digital Gold for Global Circulation</w:t>
      </w:r>
    </w:p>
    <w:p>
      <w:pPr>
        <w:spacing w:after="120" w:before="80"/>
      </w:pPr>
      <w:r>
        <w:rPr>
          <w:rFonts w:ascii="Times New Roman" w:hAnsi="Times New Roman"/>
          <w:color w:val="444444"/>
          <w:sz w:val="22"/>
        </w:rPr>
        <w:t>II.  pGOLD: The Digital Embodiment of 1 Gram of Gold</w:t>
      </w:r>
    </w:p>
    <w:p>
      <w:pPr>
        <w:spacing w:after="120" w:before="80"/>
      </w:pPr>
      <w:r>
        <w:rPr>
          <w:rFonts w:ascii="Times New Roman" w:hAnsi="Times New Roman"/>
          <w:color w:val="444444"/>
          <w:sz w:val="22"/>
        </w:rPr>
        <w:t>III.  Cold Start Engine: Five-Track Trading Incentive System</w:t>
      </w:r>
    </w:p>
    <w:p>
      <w:pPr>
        <w:spacing w:after="120" w:before="80"/>
      </w:pPr>
      <w:r>
        <w:rPr>
          <w:rFonts w:ascii="Times New Roman" w:hAnsi="Times New Roman"/>
          <w:color w:val="444444"/>
          <w:sz w:val="22"/>
        </w:rPr>
        <w:t>IV.  Token Economics: Supply, Inflation &amp; Steady State</w:t>
      </w:r>
    </w:p>
    <w:p>
      <w:pPr>
        <w:spacing w:after="120" w:before="80"/>
      </w:pPr>
      <w:r>
        <w:rPr>
          <w:rFonts w:ascii="Times New Roman" w:hAnsi="Times New Roman"/>
          <w:color w:val="444444"/>
          <w:sz w:val="22"/>
        </w:rPr>
        <w:t>V.  Protocol Sustainability: Revenue, Expenditure &amp; Reserve Proof</w:t>
      </w:r>
    </w:p>
    <w:p>
      <w:pPr>
        <w:spacing w:after="120" w:before="80"/>
      </w:pPr>
      <w:r>
        <w:rPr>
          <w:rFonts w:ascii="Times New Roman" w:hAnsi="Times New Roman"/>
          <w:color w:val="444444"/>
          <w:sz w:val="22"/>
        </w:rPr>
        <w:t>VI.  Three-Party Economy: Traders · Merchants · Protocol</w:t>
      </w:r>
    </w:p>
    <w:p>
      <w:pPr>
        <w:spacing w:after="120" w:before="80"/>
      </w:pPr>
      <w:r>
        <w:rPr>
          <w:rFonts w:ascii="Times New Roman" w:hAnsi="Times New Roman"/>
          <w:color w:val="444444"/>
          <w:sz w:val="22"/>
        </w:rPr>
        <w:t>VII.  Asset Replacement: From Token to Hard Assets</w:t>
      </w:r>
    </w:p>
    <w:p>
      <w:pPr>
        <w:spacing w:after="120" w:before="80"/>
      </w:pPr>
      <w:r>
        <w:rPr>
          <w:rFonts w:ascii="Times New Roman" w:hAnsi="Times New Roman"/>
          <w:color w:val="444444"/>
          <w:sz w:val="22"/>
        </w:rPr>
        <w:t>VIII.  Capital Markets: RWA Securitization &amp; NASDAQ</w:t>
      </w:r>
    </w:p>
    <w:p>
      <w:pPr>
        <w:spacing w:after="120" w:before="80"/>
      </w:pPr>
      <w:r>
        <w:rPr>
          <w:rFonts w:ascii="Times New Roman" w:hAnsi="Times New Roman"/>
          <w:color w:val="444444"/>
          <w:sz w:val="22"/>
        </w:rPr>
        <w:t>IX.  Value Flywheel: Path to Trillion-Dollar Valuation</w:t>
      </w:r>
    </w:p>
    <w:p>
      <w:pPr>
        <w:spacing w:after="120" w:before="80"/>
      </w:pPr>
      <w:r>
        <w:rPr>
          <w:rFonts w:ascii="Times New Roman" w:hAnsi="Times New Roman"/>
          <w:color w:val="444444"/>
          <w:sz w:val="22"/>
        </w:rPr>
        <w:t>X.  Governance, Compliance &amp; Security</w:t>
      </w:r>
    </w:p>
    <w:p>
      <w:pPr>
        <w:spacing w:after="120" w:before="80"/>
      </w:pPr>
      <w:r>
        <w:rPr>
          <w:rFonts w:ascii="Times New Roman" w:hAnsi="Times New Roman"/>
          <w:color w:val="444444"/>
          <w:sz w:val="22"/>
        </w:rPr>
        <w:t>XI.  Execution Roadmap</w:t>
      </w:r>
    </w:p>
    <w:p>
      <w:pPr>
        <w:spacing w:after="120" w:before="80"/>
      </w:pPr>
      <w:r>
        <w:rPr>
          <w:rFonts w:ascii="Times New Roman" w:hAnsi="Times New Roman"/>
          <w:color w:val="444444"/>
          <w:sz w:val="22"/>
        </w:rPr>
        <w:t>XII.  Risk Matrix &amp; Mitigation</w:t>
      </w:r>
    </w:p>
    <w:p>
      <w:pPr>
        <w:spacing w:after="120" w:before="80"/>
      </w:pPr>
      <w:r>
        <w:rPr>
          <w:rFonts w:ascii="Times New Roman" w:hAnsi="Times New Roman"/>
          <w:color w:val="444444"/>
          <w:sz w:val="22"/>
        </w:rPr>
        <w:t>APPENDIX  Key Parameters Quick Reference</w:t>
      </w:r>
    </w:p>
    <w:p>
      <w:r>
        <w:br w:type="page"/>
      </w:r>
    </w:p>
    <w:p>
      <w:pPr>
        <w:spacing w:after="0"/>
      </w:pPr>
      <w:r>
        <w:rPr>
          <w:rFonts w:ascii="Times New Roman" w:hAnsi="Times New Roman"/>
          <w:b/>
          <w:color w:val="D4A853"/>
          <w:sz w:val="22"/>
          <w:rFonts w:eastAsia="SimHei"/>
        </w:rPr>
        <w:t>CHAPTER I</w:t>
      </w:r>
    </w:p>
    <w:p>
      <w:pPr>
        <w:pStyle w:val="Heading1"/>
      </w:pPr>
      <w:r>
        <w:t>Grand Vision: Digital Gold for Global Circulation</w:t>
      </w:r>
    </w:p>
    <w:p>
      <w:pPr>
        <w:pStyle w:val="Heading2"/>
      </w:pPr>
      <w:r>
        <w:t>1.1  What We Are Building</w:t>
      </w:r>
    </w:p>
    <w:p>
      <w:pPr>
        <w:spacing w:line="360" w:lineRule="auto"/>
      </w:pPr>
      <w:r>
        <w:rPr>
          <w:rFonts w:ascii="Times New Roman" w:hAnsi="Times New Roman"/>
          <w:sz w:val="22"/>
          <w:rFonts w:eastAsia="SimSun"/>
        </w:rPr>
        <w:t xml:space="preserve">We are creating a blockchain-based digital asset — </w:t>
      </w:r>
      <w:r>
        <w:rPr>
          <w:rFonts w:ascii="Times New Roman" w:hAnsi="Times New Roman"/>
          <w:b/>
          <w:color w:val="9A7B2A"/>
          <w:sz w:val="22"/>
          <w:rFonts w:eastAsia="SimHei"/>
        </w:rPr>
        <w:t>pGOLD</w:t>
      </w:r>
      <w:r>
        <w:rPr>
          <w:rFonts w:ascii="Times New Roman" w:hAnsi="Times New Roman"/>
          <w:sz w:val="22"/>
          <w:rFonts w:eastAsia="SimSun"/>
        </w:rPr>
        <w:t xml:space="preserve"> — backed by </w:t>
      </w:r>
      <w:r>
        <w:rPr>
          <w:rFonts w:ascii="Times New Roman" w:hAnsi="Times New Roman"/>
          <w:b/>
          <w:color w:val="9A7B2A"/>
          <w:sz w:val="22"/>
          <w:rFonts w:eastAsia="SimHei"/>
        </w:rPr>
        <w:t>100% physical gold reserves</w:t>
      </w:r>
      <w:r>
        <w:rPr>
          <w:rFonts w:ascii="Times New Roman" w:hAnsi="Times New Roman"/>
          <w:sz w:val="22"/>
          <w:rFonts w:eastAsia="SimSun"/>
        </w:rPr>
        <w:t xml:space="preserve">. One pGOLD perpetually represents the digital claim on </w:t>
      </w:r>
      <w:r>
        <w:rPr>
          <w:rFonts w:ascii="Times New Roman" w:hAnsi="Times New Roman"/>
          <w:b/>
          <w:color w:val="9A7B2A"/>
          <w:sz w:val="22"/>
          <w:rFonts w:eastAsia="SimHei"/>
        </w:rPr>
        <w:t>1 gram of physical gold</w:t>
      </w:r>
      <w:r>
        <w:rPr>
          <w:rFonts w:ascii="Times New Roman" w:hAnsi="Times New Roman"/>
          <w:sz w:val="22"/>
          <w:rFonts w:eastAsia="SimSun"/>
        </w:rPr>
        <w:t>. Any holder may redeem their pGOLD for physical gold at any time.</w:t>
      </w:r>
    </w:p>
    <w:p>
      <w:pPr>
        <w:spacing w:line="360" w:lineRule="auto"/>
      </w:pPr>
      <w:r>
        <w:rPr>
          <w:rFonts w:ascii="Times New Roman" w:hAnsi="Times New Roman"/>
          <w:sz w:val="22"/>
          <w:rFonts w:eastAsia="SimSun"/>
        </w:rPr>
        <w:t xml:space="preserve">But redemption is not the endgame. The true mission of pGOLD is to become a </w:t>
      </w:r>
      <w:r>
        <w:rPr>
          <w:rFonts w:ascii="Times New Roman" w:hAnsi="Times New Roman"/>
          <w:b/>
          <w:color w:val="9A7B2A"/>
          <w:sz w:val="22"/>
          <w:rFonts w:eastAsia="SimHei"/>
        </w:rPr>
        <w:t>global payment instrument</w:t>
      </w:r>
      <w:r>
        <w:rPr>
          <w:rFonts w:ascii="Times New Roman" w:hAnsi="Times New Roman"/>
          <w:sz w:val="22"/>
          <w:rFonts w:eastAsia="SimSun"/>
        </w:rPr>
        <w:t xml:space="preserve"> — a "</w:t>
      </w:r>
      <w:r>
        <w:rPr>
          <w:rFonts w:ascii="Times New Roman" w:hAnsi="Times New Roman"/>
          <w:b/>
          <w:color w:val="9A7B2A"/>
          <w:sz w:val="22"/>
          <w:rFonts w:eastAsia="SimHei"/>
        </w:rPr>
        <w:t>digital gold currency</w:t>
      </w:r>
      <w:r>
        <w:rPr>
          <w:rFonts w:ascii="Times New Roman" w:hAnsi="Times New Roman"/>
          <w:sz w:val="22"/>
          <w:rFonts w:eastAsia="SimSun"/>
        </w:rPr>
        <w:t>" usable in any country, for any purpose. When Russian king crab exporters settle with global importers in pGOLD, when Middle Eastern oil traders pay freight in pGOLD, when factories worldwide use pGOLD for cross-border equipment purchases — that is when we complete the metamorphosis from token to currency.</w:t>
      </w:r>
    </w:p>
    <w:p>
      <w:pPr>
        <w:pStyle w:val="Heading2"/>
      </w:pPr>
      <w:r>
        <w:t>1.2  Why Gold</w:t>
      </w:r>
    </w:p>
    <w:p>
      <w:pPr>
        <w:spacing w:before="160" w:after="160"/>
        <w:ind w:left="283"/>
        <w:pBdr>
          <w:top w:val="single" w:sz="4" w:space="4" w:color="D4A853"/>
          <w:left w:val="single" w:sz="4" w:space="4" w:color="D4A853"/>
          <w:bottom w:val="single" w:sz="4" w:space="4" w:color="D4A853"/>
          <w:right w:val="single" w:sz="4" w:space="4" w:color="D4A853"/>
        </w:pBdr>
        <w:shd w:fill="FCF8F0" w:val="clear"/>
      </w:pPr>
      <w:r>
        <w:rPr>
          <w:rFonts w:ascii="Times New Roman" w:hAnsi="Times New Roman"/>
          <w:color w:val="444444"/>
          <w:sz w:val="20"/>
          <w:rFonts w:eastAsia="SimSun"/>
        </w:rPr>
        <w:t>Gold is the most enduring store of value in human history. Over 5,000 years, no fiat currency has survived beyond 200 years — yet gold has never gone to zero. Annual mining output represents only 1.5%–1.8% of total above-ground stock, making it naturally inflation-resistant. Global central banks have been net buyers of gold for consecutive years, with aggregate purchases exceeding 1,000 tonnes in 2024 alone.</w:t>
      </w:r>
    </w:p>
    <w:p>
      <w:pPr>
        <w:spacing w:line="360" w:lineRule="auto"/>
      </w:pPr>
      <w:r>
        <w:rPr>
          <w:rFonts w:ascii="Times New Roman" w:hAnsi="Times New Roman"/>
          <w:sz w:val="22"/>
          <w:rFonts w:eastAsia="SimSun"/>
        </w:rPr>
        <w:t xml:space="preserve">Physical gold, however, has a fatal flaw for the digital age: it is </w:t>
      </w:r>
      <w:r>
        <w:rPr>
          <w:rFonts w:ascii="Times New Roman" w:hAnsi="Times New Roman"/>
          <w:b/>
          <w:color w:val="9A7B2A"/>
          <w:sz w:val="22"/>
          <w:rFonts w:eastAsia="SimHei"/>
        </w:rPr>
        <w:t>difficult to divide</w:t>
      </w:r>
      <w:r>
        <w:rPr>
          <w:rFonts w:ascii="Times New Roman" w:hAnsi="Times New Roman"/>
          <w:sz w:val="22"/>
          <w:rFonts w:eastAsia="SimSun"/>
        </w:rPr>
        <w:t xml:space="preserve">, </w:t>
      </w:r>
      <w:r>
        <w:rPr>
          <w:rFonts w:ascii="Times New Roman" w:hAnsi="Times New Roman"/>
          <w:b/>
          <w:color w:val="9A7B2A"/>
          <w:sz w:val="22"/>
          <w:rFonts w:eastAsia="SimHei"/>
        </w:rPr>
        <w:t>expensive to transport</w:t>
      </w:r>
      <w:r>
        <w:rPr>
          <w:rFonts w:ascii="Times New Roman" w:hAnsi="Times New Roman"/>
          <w:sz w:val="22"/>
          <w:rFonts w:eastAsia="SimSun"/>
        </w:rPr>
        <w:t xml:space="preserve">, and impractical for daily payments. We bring gold onto the </w:t>
      </w:r>
      <w:r>
        <w:rPr>
          <w:rFonts w:ascii="Times New Roman" w:hAnsi="Times New Roman"/>
          <w:b/>
          <w:color w:val="9A7B2A"/>
          <w:sz w:val="22"/>
          <w:rFonts w:eastAsia="SimHei"/>
        </w:rPr>
        <w:t>blockchain</w:t>
      </w:r>
      <w:r>
        <w:rPr>
          <w:rFonts w:ascii="Times New Roman" w:hAnsi="Times New Roman"/>
          <w:sz w:val="22"/>
          <w:rFonts w:eastAsia="SimSun"/>
        </w:rPr>
        <w:t xml:space="preserve"> — preserving its inflation-resistant hard-asset properties while endowing it with the liquidity and convenience of digital currency.</w:t>
      </w:r>
    </w:p>
    <w:p>
      <w:pPr>
        <w:pStyle w:val="Heading2"/>
      </w:pPr>
      <w:r>
        <w:t>1.3  Three-Party Economy: Not an Exchange, But a Payment Network</w:t>
      </w:r>
    </w:p>
    <w:p>
      <w:pPr>
        <w:spacing w:line="360" w:lineRule="auto"/>
      </w:pPr>
      <w:r>
        <w:rPr>
          <w:rFonts w:ascii="Times New Roman" w:hAnsi="Times New Roman"/>
          <w:sz w:val="22"/>
          <w:rFonts w:eastAsia="SimSun"/>
        </w:rPr>
        <w:t xml:space="preserve">pGOLD is more than a trading instrument. It is sustained by three user archetypes forming a complete economic loop: </w:t>
      </w:r>
      <w:r>
        <w:rPr>
          <w:rFonts w:ascii="Times New Roman" w:hAnsi="Times New Roman"/>
          <w:b/>
          <w:color w:val="9A7B2A"/>
          <w:sz w:val="22"/>
          <w:rFonts w:eastAsia="SimHei"/>
        </w:rPr>
        <w:t>Trading Users</w:t>
      </w:r>
      <w:r>
        <w:rPr>
          <w:rFonts w:ascii="Times New Roman" w:hAnsi="Times New Roman"/>
          <w:sz w:val="22"/>
          <w:rFonts w:eastAsia="SimSun"/>
        </w:rPr>
        <w:t xml:space="preserve"> generate liquidity and pay 0.5% fees; the </w:t>
      </w:r>
      <w:r>
        <w:rPr>
          <w:rFonts w:ascii="Times New Roman" w:hAnsi="Times New Roman"/>
          <w:b/>
          <w:color w:val="9A7B2A"/>
          <w:sz w:val="22"/>
          <w:rFonts w:eastAsia="SimHei"/>
        </w:rPr>
        <w:t>Protocol</w:t>
      </w:r>
      <w:r>
        <w:rPr>
          <w:rFonts w:ascii="Times New Roman" w:hAnsi="Times New Roman"/>
          <w:sz w:val="22"/>
          <w:rFonts w:eastAsia="SimSun"/>
        </w:rPr>
        <w:t xml:space="preserve"> manages gold vaults, purchases gold, and guarantees full redemption; and </w:t>
      </w:r>
      <w:r>
        <w:rPr>
          <w:rFonts w:ascii="Times New Roman" w:hAnsi="Times New Roman"/>
          <w:b/>
          <w:color w:val="9A7B2A"/>
          <w:sz w:val="22"/>
          <w:rFonts w:eastAsia="SimHei"/>
        </w:rPr>
        <w:t>Merchant Users</w:t>
      </w:r>
      <w:r>
        <w:rPr>
          <w:rFonts w:ascii="Times New Roman" w:hAnsi="Times New Roman"/>
          <w:sz w:val="22"/>
          <w:rFonts w:eastAsia="SimSun"/>
        </w:rPr>
        <w:t xml:space="preserve"> settle real-world trade in pGOLD, saving on SWIFT fees and FX spreads.</w:t>
      </w:r>
    </w:p>
    <w:p>
      <w:pPr>
        <w:spacing w:line="360" w:lineRule="auto"/>
      </w:pPr>
      <w:r>
        <w:rPr>
          <w:rFonts w:ascii="Times New Roman" w:hAnsi="Times New Roman"/>
          <w:sz w:val="22"/>
          <w:rFonts w:eastAsia="SimSun"/>
        </w:rPr>
        <w:t xml:space="preserve">Trading Users provide liquidity → Protocol collects fees to purchase gold → Merchants use pGOLD to settle physical trade → Unlocked pGOLD is absorbed by organic demand → The </w:t>
      </w:r>
      <w:r>
        <w:rPr>
          <w:rFonts w:ascii="Times New Roman" w:hAnsi="Times New Roman"/>
          <w:b/>
          <w:color w:val="9A7B2A"/>
          <w:sz w:val="22"/>
          <w:rFonts w:eastAsia="SimHei"/>
        </w:rPr>
        <w:t>flywheel</w:t>
      </w:r>
      <w:r>
        <w:rPr>
          <w:rFonts w:ascii="Times New Roman" w:hAnsi="Times New Roman"/>
          <w:sz w:val="22"/>
          <w:rFonts w:eastAsia="SimSun"/>
        </w:rPr>
        <w:t xml:space="preserve"> accelerates.</w:t>
      </w:r>
    </w:p>
    <w:p>
      <w:pPr>
        <w:pStyle w:val="Heading2"/>
      </w:pPr>
      <w:r>
        <w:t>1.4  Endgame: Universal Payment Instrument</w:t>
      </w:r>
    </w:p>
    <w:p>
      <w:pPr>
        <w:spacing w:line="360" w:lineRule="auto"/>
      </w:pPr>
      <w:r>
        <w:rPr>
          <w:rFonts w:ascii="Times New Roman" w:hAnsi="Times New Roman"/>
          <w:sz w:val="22"/>
          <w:rFonts w:eastAsia="SimSun"/>
        </w:rPr>
        <w:t xml:space="preserve">When pGOLD achieves sufficient market depth, price stability, and user adoption, it will transcend its speculative origins to become a payment instrument redeemable for gold at any moment. At that stage, pGOLD will enable </w:t>
      </w:r>
      <w:r>
        <w:rPr>
          <w:rFonts w:ascii="Times New Roman" w:hAnsi="Times New Roman"/>
          <w:b/>
          <w:color w:val="9A7B2A"/>
          <w:sz w:val="22"/>
          <w:rFonts w:eastAsia="SimHei"/>
        </w:rPr>
        <w:t>cross-border payments</w:t>
      </w:r>
      <w:r>
        <w:rPr>
          <w:rFonts w:ascii="Times New Roman" w:hAnsi="Times New Roman"/>
          <w:sz w:val="22"/>
          <w:rFonts w:eastAsia="SimSun"/>
        </w:rPr>
        <w:t xml:space="preserve"> in seconds, large-scale </w:t>
      </w:r>
      <w:r>
        <w:rPr>
          <w:rFonts w:ascii="Times New Roman" w:hAnsi="Times New Roman"/>
          <w:b/>
          <w:color w:val="9A7B2A"/>
          <w:sz w:val="22"/>
          <w:rFonts w:eastAsia="SimHei"/>
        </w:rPr>
        <w:t>commodity settlement</w:t>
      </w:r>
      <w:r>
        <w:rPr>
          <w:rFonts w:ascii="Times New Roman" w:hAnsi="Times New Roman"/>
          <w:sz w:val="22"/>
          <w:rFonts w:eastAsia="SimSun"/>
        </w:rPr>
        <w:t xml:space="preserve">, discounted acquisition of </w:t>
      </w:r>
      <w:r>
        <w:rPr>
          <w:rFonts w:ascii="Times New Roman" w:hAnsi="Times New Roman"/>
          <w:b/>
          <w:color w:val="9A7B2A"/>
          <w:sz w:val="22"/>
          <w:rFonts w:eastAsia="SimHei"/>
        </w:rPr>
        <w:t>hard assets</w:t>
      </w:r>
      <w:r>
        <w:rPr>
          <w:rFonts w:ascii="Times New Roman" w:hAnsi="Times New Roman"/>
          <w:sz w:val="22"/>
          <w:rFonts w:eastAsia="SimSun"/>
        </w:rPr>
        <w:t>, and eventually everyday consumer spending.</w:t>
      </w:r>
    </w:p>
    <w:p>
      <w:r>
        <w:br w:type="page"/>
      </w:r>
    </w:p>
    <w:p>
      <w:pPr>
        <w:spacing w:after="0"/>
      </w:pPr>
      <w:r>
        <w:rPr>
          <w:rFonts w:ascii="Times New Roman" w:hAnsi="Times New Roman"/>
          <w:b/>
          <w:color w:val="D4A853"/>
          <w:sz w:val="22"/>
          <w:rFonts w:eastAsia="SimHei"/>
        </w:rPr>
        <w:t>CHAPTER II</w:t>
      </w:r>
    </w:p>
    <w:p>
      <w:pPr>
        <w:pStyle w:val="Heading1"/>
      </w:pPr>
      <w:r>
        <w:t>pGOLD: The Digital Embodiment of 1 Gram of Gold</w:t>
      </w:r>
    </w:p>
    <w:p>
      <w:pPr>
        <w:pStyle w:val="Heading2"/>
      </w:pPr>
      <w:r>
        <w:t>2.1  Core Definition</w:t>
      </w:r>
    </w:p>
    <w:tbl>
      <w:tblPr>
        <w:tblStyle w:val="TableGrid"/>
        <w:tblW w:type="auto" w:w="0"/>
        <w:jc w:val="center"/>
        <w:tblLook w:firstColumn="1" w:firstRow="1" w:lastColumn="0" w:lastRow="0" w:noHBand="0" w:noVBand="1" w:val="04A0"/>
      </w:tblPr>
      <w:tblGrid>
        <w:gridCol w:w="4513"/>
        <w:gridCol w:w="4513"/>
      </w:tblGrid>
      <w:tr>
        <w:tc>
          <w:tcPr>
            <w:tcW w:type="dxa" w:w="2551"/>
            <w:shd w:fill="2C2C3A" w:val="clear"/>
          </w:tcPr>
          <w:p>
            <w:pPr>
              <w:jc w:val="center"/>
            </w:pPr>
            <w:r/>
            <w:r>
              <w:rPr>
                <w:rFonts w:ascii="Times New Roman" w:hAnsi="Times New Roman"/>
                <w:b/>
                <w:color w:val="FFFFFF"/>
                <w:sz w:val="18"/>
                <w:rFonts w:eastAsia="SimHei"/>
              </w:rPr>
              <w:t>Parameter</w:t>
            </w:r>
          </w:p>
        </w:tc>
        <w:tc>
          <w:tcPr>
            <w:tcW w:type="dxa" w:w="6803"/>
            <w:shd w:fill="2C2C3A" w:val="clear"/>
          </w:tcPr>
          <w:p>
            <w:pPr>
              <w:jc w:val="center"/>
            </w:pPr>
            <w:r/>
            <w:r>
              <w:rPr>
                <w:rFonts w:ascii="Times New Roman" w:hAnsi="Times New Roman"/>
                <w:b/>
                <w:color w:val="FFFFFF"/>
                <w:sz w:val="18"/>
                <w:rFonts w:eastAsia="SimHei"/>
              </w:rPr>
              <w:t>Specification</w:t>
            </w:r>
          </w:p>
        </w:tc>
      </w:tr>
      <w:tr>
        <w:tc>
          <w:tcPr>
            <w:tcW w:type="dxa" w:w="2551"/>
          </w:tcPr>
          <w:p>
            <w:r/>
            <w:r>
              <w:rPr>
                <w:rFonts w:ascii="Times New Roman" w:hAnsi="Times New Roman"/>
                <w:color w:val="2D2D2D"/>
                <w:sz w:val="18"/>
                <w:rFonts w:eastAsia="SimSun"/>
              </w:rPr>
              <w:t>Name</w:t>
            </w:r>
          </w:p>
        </w:tc>
        <w:tc>
          <w:tcPr>
            <w:tcW w:type="dxa" w:w="6803"/>
          </w:tcPr>
          <w:p>
            <w:pPr>
              <w:jc w:val="right"/>
            </w:pPr>
            <w:r/>
            <w:r>
              <w:rPr>
                <w:rFonts w:ascii="Times New Roman" w:hAnsi="Times New Roman"/>
                <w:color w:val="2D2D2D"/>
                <w:sz w:val="18"/>
                <w:rFonts w:eastAsia="SimSun"/>
              </w:rPr>
              <w:t>pGOLD (Protocol Gold)</w:t>
            </w:r>
          </w:p>
        </w:tc>
      </w:tr>
      <w:tr>
        <w:tc>
          <w:tcPr>
            <w:tcW w:type="dxa" w:w="2551"/>
            <w:shd w:fill="F8F6F0" w:val="clear"/>
          </w:tcPr>
          <w:p>
            <w:r/>
            <w:r>
              <w:rPr>
                <w:rFonts w:ascii="Times New Roman" w:hAnsi="Times New Roman"/>
                <w:color w:val="2D2D2D"/>
                <w:sz w:val="18"/>
                <w:rFonts w:eastAsia="SimSun"/>
              </w:rPr>
              <w:t>Standard</w:t>
            </w:r>
          </w:p>
        </w:tc>
        <w:tc>
          <w:tcPr>
            <w:tcW w:type="dxa" w:w="6803"/>
            <w:shd w:fill="F8F6F0" w:val="clear"/>
          </w:tcPr>
          <w:p>
            <w:pPr>
              <w:jc w:val="right"/>
            </w:pPr>
            <w:r/>
            <w:r>
              <w:rPr>
                <w:rFonts w:ascii="Times New Roman" w:hAnsi="Times New Roman"/>
                <w:color w:val="2D2D2D"/>
                <w:sz w:val="18"/>
                <w:rFonts w:eastAsia="SimSun"/>
              </w:rPr>
              <w:t>ERC-20 (Base L2; cross-chain to Arbitrum, Solana, Sui)</w:t>
            </w:r>
          </w:p>
        </w:tc>
      </w:tr>
      <w:tr>
        <w:tc>
          <w:tcPr>
            <w:tcW w:type="dxa" w:w="2551"/>
          </w:tcPr>
          <w:p>
            <w:r/>
            <w:r>
              <w:rPr>
                <w:rFonts w:ascii="Times New Roman" w:hAnsi="Times New Roman"/>
                <w:color w:val="2D2D2D"/>
                <w:sz w:val="18"/>
                <w:rFonts w:eastAsia="SimSun"/>
              </w:rPr>
              <w:t>Peg</w:t>
            </w:r>
          </w:p>
        </w:tc>
        <w:tc>
          <w:tcPr>
            <w:tcW w:type="dxa" w:w="6803"/>
          </w:tcPr>
          <w:p>
            <w:pPr>
              <w:jc w:val="right"/>
            </w:pPr>
            <w:r/>
            <w:r>
              <w:rPr>
                <w:rFonts w:ascii="Times New Roman" w:hAnsi="Times New Roman"/>
                <w:color w:val="2D2D2D"/>
                <w:sz w:val="18"/>
                <w:rFonts w:eastAsia="SimSun"/>
              </w:rPr>
              <w:t>1 pGOLD = digital claim on 1 gram of physical gold</w:t>
            </w:r>
          </w:p>
        </w:tc>
      </w:tr>
      <w:tr>
        <w:tc>
          <w:tcPr>
            <w:tcW w:type="dxa" w:w="2551"/>
            <w:shd w:fill="F8F6F0" w:val="clear"/>
          </w:tcPr>
          <w:p>
            <w:r/>
            <w:r>
              <w:rPr>
                <w:rFonts w:ascii="Times New Roman" w:hAnsi="Times New Roman"/>
                <w:color w:val="2D2D2D"/>
                <w:sz w:val="18"/>
                <w:rFonts w:eastAsia="SimSun"/>
              </w:rPr>
              <w:t>Reserve</w:t>
            </w:r>
          </w:p>
        </w:tc>
        <w:tc>
          <w:tcPr>
            <w:tcW w:type="dxa" w:w="6803"/>
            <w:shd w:fill="F8F6F0" w:val="clear"/>
          </w:tcPr>
          <w:p>
            <w:pPr>
              <w:jc w:val="right"/>
            </w:pPr>
            <w:r/>
            <w:r>
              <w:rPr>
                <w:rFonts w:ascii="Times New Roman" w:hAnsi="Times New Roman"/>
                <w:color w:val="2D2D2D"/>
                <w:sz w:val="18"/>
                <w:rFonts w:eastAsia="SimSun"/>
              </w:rPr>
              <w:t>100% physical gold backing; on-chain real-time Proof of Reserve</w:t>
            </w:r>
          </w:p>
        </w:tc>
      </w:tr>
      <w:tr>
        <w:tc>
          <w:tcPr>
            <w:tcW w:type="dxa" w:w="2551"/>
          </w:tcPr>
          <w:p>
            <w:r/>
            <w:r>
              <w:rPr>
                <w:rFonts w:ascii="Times New Roman" w:hAnsi="Times New Roman"/>
                <w:color w:val="2D2D2D"/>
                <w:sz w:val="18"/>
                <w:rFonts w:eastAsia="SimSun"/>
              </w:rPr>
              <w:t>Pricing</w:t>
            </w:r>
          </w:p>
        </w:tc>
        <w:tc>
          <w:tcPr>
            <w:tcW w:type="dxa" w:w="6803"/>
          </w:tcPr>
          <w:p>
            <w:pPr>
              <w:jc w:val="right"/>
            </w:pPr>
            <w:r/>
            <w:r>
              <w:rPr>
                <w:rFonts w:ascii="Times New Roman" w:hAnsi="Times New Roman"/>
                <w:color w:val="2D2D2D"/>
                <w:sz w:val="18"/>
                <w:rFonts w:eastAsia="SimSun"/>
              </w:rPr>
              <w:t>Floats with international gold spot price; references LBMA Gold Fix</w:t>
            </w:r>
          </w:p>
        </w:tc>
      </w:tr>
      <w:tr>
        <w:tc>
          <w:tcPr>
            <w:tcW w:type="dxa" w:w="2551"/>
            <w:shd w:fill="F8F6F0" w:val="clear"/>
          </w:tcPr>
          <w:p>
            <w:r/>
            <w:r>
              <w:rPr>
                <w:rFonts w:ascii="Times New Roman" w:hAnsi="Times New Roman"/>
                <w:color w:val="2D2D2D"/>
                <w:sz w:val="18"/>
                <w:rFonts w:eastAsia="SimSun"/>
              </w:rPr>
              <w:t>Redemption</w:t>
            </w:r>
          </w:p>
        </w:tc>
        <w:tc>
          <w:tcPr>
            <w:tcW w:type="dxa" w:w="6803"/>
            <w:shd w:fill="F8F6F0" w:val="clear"/>
          </w:tcPr>
          <w:p>
            <w:pPr>
              <w:jc w:val="right"/>
            </w:pPr>
            <w:r/>
            <w:r>
              <w:rPr>
                <w:rFonts w:ascii="Times New Roman" w:hAnsi="Times New Roman"/>
                <w:color w:val="2D2D2D"/>
                <w:sz w:val="18"/>
                <w:rFonts w:eastAsia="SimSun"/>
              </w:rPr>
              <w:t>Any holder may redeem pGOLD for physical gold (subject to KYC/AML)</w:t>
            </w:r>
          </w:p>
        </w:tc>
      </w:tr>
    </w:tbl>
    <w:p>
      <w:pPr>
        <w:pStyle w:val="Heading2"/>
      </w:pPr>
      <w:r>
        <w:t>2.2  Minting &amp; Redemption</w:t>
      </w:r>
    </w:p>
    <w:p>
      <w:pPr>
        <w:spacing w:before="160" w:after="160"/>
        <w:ind w:left="283"/>
        <w:pBdr>
          <w:top w:val="single" w:sz="4" w:space="4" w:color="D4A853"/>
          <w:left w:val="single" w:sz="4" w:space="4" w:color="D4A853"/>
          <w:bottom w:val="single" w:sz="4" w:space="4" w:color="D4A853"/>
          <w:right w:val="single" w:sz="4" w:space="4" w:color="D4A853"/>
        </w:pBdr>
        <w:shd w:fill="FCF8F0" w:val="clear"/>
      </w:pPr>
      <w:r>
        <w:rPr>
          <w:rFonts w:ascii="Times New Roman" w:hAnsi="Times New Roman"/>
          <w:color w:val="444444"/>
          <w:sz w:val="20"/>
          <w:rFonts w:eastAsia="SimSun"/>
        </w:rPr>
        <w:t>Minting: USD deposit → Oracle price feed → Mint pGOLD → Vault purchases physical gold. Mint price = Oracle spot price × (1 + dynamic premium 0.1%–0.2%). Redemption price = Oracle spot price × (1 − 0.05% redemption fee).</w:t>
      </w:r>
    </w:p>
    <w:p>
      <w:pPr>
        <w:pStyle w:val="Heading2"/>
      </w:pPr>
      <w:r>
        <w:t>2.3  Dual Vault Architecture</w:t>
      </w:r>
    </w:p>
    <w:tbl>
      <w:tblPr>
        <w:tblStyle w:val="TableGrid"/>
        <w:tblW w:type="auto" w:w="0"/>
        <w:jc w:val="center"/>
        <w:tblLook w:firstColumn="1" w:firstRow="1" w:lastColumn="0" w:lastRow="0" w:noHBand="0" w:noVBand="1" w:val="04A0"/>
      </w:tblPr>
      <w:tblGrid>
        <w:gridCol w:w="3009"/>
        <w:gridCol w:w="3009"/>
        <w:gridCol w:w="3009"/>
      </w:tblGrid>
      <w:tr>
        <w:tc>
          <w:tcPr>
            <w:tcW w:type="dxa" w:w="2268"/>
            <w:shd w:fill="2C2C3A" w:val="clear"/>
          </w:tcPr>
          <w:p>
            <w:pPr>
              <w:jc w:val="center"/>
            </w:pPr>
            <w:r/>
            <w:r>
              <w:rPr>
                <w:rFonts w:ascii="Times New Roman" w:hAnsi="Times New Roman"/>
                <w:b/>
                <w:color w:val="FFFFFF"/>
                <w:sz w:val="18"/>
                <w:rFonts w:eastAsia="SimHei"/>
              </w:rPr>
              <w:t>Vault Type</w:t>
            </w:r>
          </w:p>
        </w:tc>
        <w:tc>
          <w:tcPr>
            <w:tcW w:type="dxa" w:w="3685"/>
            <w:shd w:fill="2C2C3A" w:val="clear"/>
          </w:tcPr>
          <w:p>
            <w:pPr>
              <w:jc w:val="center"/>
            </w:pPr>
            <w:r/>
            <w:r>
              <w:rPr>
                <w:rFonts w:ascii="Times New Roman" w:hAnsi="Times New Roman"/>
                <w:b/>
                <w:color w:val="FFFFFF"/>
                <w:sz w:val="18"/>
                <w:rFonts w:eastAsia="SimHei"/>
              </w:rPr>
              <w:t>Purpose</w:t>
            </w:r>
          </w:p>
        </w:tc>
        <w:tc>
          <w:tcPr>
            <w:tcW w:type="dxa" w:w="3402"/>
            <w:shd w:fill="2C2C3A" w:val="clear"/>
          </w:tcPr>
          <w:p>
            <w:pPr>
              <w:jc w:val="center"/>
            </w:pPr>
            <w:r/>
            <w:r>
              <w:rPr>
                <w:rFonts w:ascii="Times New Roman" w:hAnsi="Times New Roman"/>
                <w:b/>
                <w:color w:val="FFFFFF"/>
                <w:sz w:val="18"/>
                <w:rFonts w:eastAsia="SimHei"/>
              </w:rPr>
              <w:t>Verification</w:t>
            </w:r>
          </w:p>
        </w:tc>
      </w:tr>
      <w:tr>
        <w:tc>
          <w:tcPr>
            <w:tcW w:type="dxa" w:w="2268"/>
          </w:tcPr>
          <w:p>
            <w:r/>
            <w:r>
              <w:rPr>
                <w:rFonts w:ascii="Times New Roman" w:hAnsi="Times New Roman"/>
                <w:color w:val="2D2D2D"/>
                <w:sz w:val="18"/>
                <w:rFonts w:eastAsia="SimSun"/>
              </w:rPr>
              <w:t>Circulating Reserve</w:t>
            </w:r>
          </w:p>
        </w:tc>
        <w:tc>
          <w:tcPr>
            <w:tcW w:type="dxa" w:w="3685"/>
          </w:tcPr>
          <w:p>
            <w:pPr>
              <w:jc w:val="right"/>
            </w:pPr>
            <w:r/>
            <w:r>
              <w:rPr>
                <w:rFonts w:ascii="Times New Roman" w:hAnsi="Times New Roman"/>
                <w:color w:val="2D2D2D"/>
                <w:sz w:val="18"/>
                <w:rFonts w:eastAsia="SimSun"/>
              </w:rPr>
              <w:t>Backs on-chain pGOLD holdings; cannot be diverted</w:t>
            </w:r>
          </w:p>
        </w:tc>
        <w:tc>
          <w:tcPr>
            <w:tcW w:type="dxa" w:w="3402"/>
          </w:tcPr>
          <w:p>
            <w:pPr>
              <w:jc w:val="right"/>
            </w:pPr>
            <w:r/>
            <w:r>
              <w:rPr>
                <w:rFonts w:ascii="Times New Roman" w:hAnsi="Times New Roman"/>
                <w:color w:val="2D2D2D"/>
                <w:sz w:val="18"/>
                <w:rFonts w:eastAsia="SimSun"/>
              </w:rPr>
              <w:t>On-chain Proof of Reserve, real-time</w:t>
            </w:r>
          </w:p>
        </w:tc>
      </w:tr>
      <w:tr>
        <w:tc>
          <w:tcPr>
            <w:tcW w:type="dxa" w:w="2268"/>
            <w:shd w:fill="F8F6F0" w:val="clear"/>
          </w:tcPr>
          <w:p>
            <w:r/>
            <w:r>
              <w:rPr>
                <w:rFonts w:ascii="Times New Roman" w:hAnsi="Times New Roman"/>
                <w:color w:val="2D2D2D"/>
                <w:sz w:val="18"/>
                <w:rFonts w:eastAsia="SimSun"/>
              </w:rPr>
              <w:t>Saleable Reserve</w:t>
            </w:r>
          </w:p>
        </w:tc>
        <w:tc>
          <w:tcPr>
            <w:tcW w:type="dxa" w:w="3685"/>
            <w:shd w:fill="F8F6F0" w:val="clear"/>
          </w:tcPr>
          <w:p>
            <w:pPr>
              <w:jc w:val="right"/>
            </w:pPr>
            <w:r/>
            <w:r>
              <w:rPr>
                <w:rFonts w:ascii="Times New Roman" w:hAnsi="Times New Roman"/>
                <w:color w:val="2D2D2D"/>
                <w:sz w:val="18"/>
                <w:rFonts w:eastAsia="SimSun"/>
              </w:rPr>
              <w:t>Protocol-owned surplus gold; used for OTC &amp; asset acquisition</w:t>
            </w:r>
          </w:p>
        </w:tc>
        <w:tc>
          <w:tcPr>
            <w:tcW w:type="dxa" w:w="3402"/>
            <w:shd w:fill="F8F6F0" w:val="clear"/>
          </w:tcPr>
          <w:p>
            <w:pPr>
              <w:jc w:val="right"/>
            </w:pPr>
            <w:r/>
            <w:r>
              <w:rPr>
                <w:rFonts w:ascii="Times New Roman" w:hAnsi="Times New Roman"/>
                <w:color w:val="2D2D2D"/>
                <w:sz w:val="18"/>
                <w:rFonts w:eastAsia="SimSun"/>
              </w:rPr>
              <w:t>Periodic independent audit</w:t>
            </w:r>
          </w:p>
        </w:tc>
      </w:tr>
    </w:tbl>
    <w:p>
      <w:r>
        <w:br w:type="page"/>
      </w:r>
    </w:p>
    <w:p>
      <w:pPr>
        <w:spacing w:after="0"/>
      </w:pPr>
      <w:r>
        <w:rPr>
          <w:rFonts w:ascii="Times New Roman" w:hAnsi="Times New Roman"/>
          <w:b/>
          <w:color w:val="D4A853"/>
          <w:sz w:val="22"/>
          <w:rFonts w:eastAsia="SimHei"/>
        </w:rPr>
        <w:t>CHAPTER III</w:t>
      </w:r>
    </w:p>
    <w:p>
      <w:pPr>
        <w:pStyle w:val="Heading1"/>
      </w:pPr>
      <w:r>
        <w:t>Cold Start Engine: Five-Track Trading Incentive System</w:t>
      </w:r>
    </w:p>
    <w:p>
      <w:pPr>
        <w:spacing w:line="360" w:lineRule="auto"/>
      </w:pPr>
      <w:r>
        <w:rPr>
          <w:rFonts w:ascii="Times New Roman" w:hAnsi="Times New Roman"/>
          <w:sz w:val="22"/>
          <w:rFonts w:eastAsia="SimSun"/>
        </w:rPr>
        <w:t>The greatest enemy of a new token is the liquidity desert at inception. We have engineered a precise five-track game-theoretic incentive system that uses token rewards to drive global users to autonomously contribute trading volume.</w:t>
      </w:r>
    </w:p>
    <w:p>
      <w:pPr>
        <w:pStyle w:val="Heading2"/>
      </w:pPr>
      <w:r>
        <w:t>3.1  Five-Track Overview</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587"/>
            <w:shd w:fill="2C2C3A" w:val="clear"/>
          </w:tcPr>
          <w:p>
            <w:pPr>
              <w:jc w:val="center"/>
            </w:pPr>
            <w:r/>
            <w:r>
              <w:rPr>
                <w:rFonts w:ascii="Times New Roman" w:hAnsi="Times New Roman"/>
                <w:b/>
                <w:color w:val="FFFFFF"/>
                <w:sz w:val="18"/>
                <w:rFonts w:eastAsia="SimHei"/>
              </w:rPr>
              <w:t>Track</w:t>
            </w:r>
          </w:p>
        </w:tc>
        <w:tc>
          <w:tcPr>
            <w:tcW w:type="dxa" w:w="2268"/>
            <w:shd w:fill="2C2C3A" w:val="clear"/>
          </w:tcPr>
          <w:p>
            <w:pPr>
              <w:jc w:val="center"/>
            </w:pPr>
            <w:r/>
            <w:r>
              <w:rPr>
                <w:rFonts w:ascii="Times New Roman" w:hAnsi="Times New Roman"/>
                <w:b/>
                <w:color w:val="FFFFFF"/>
                <w:sz w:val="18"/>
                <w:rFonts w:eastAsia="SimHei"/>
              </w:rPr>
              <w:t>Mechanism</w:t>
            </w:r>
          </w:p>
        </w:tc>
        <w:tc>
          <w:tcPr>
            <w:tcW w:type="dxa" w:w="1984"/>
            <w:shd w:fill="2C2C3A" w:val="clear"/>
          </w:tcPr>
          <w:p>
            <w:pPr>
              <w:jc w:val="center"/>
            </w:pPr>
            <w:r/>
            <w:r>
              <w:rPr>
                <w:rFonts w:ascii="Times New Roman" w:hAnsi="Times New Roman"/>
                <w:b/>
                <w:color w:val="FFFFFF"/>
                <w:sz w:val="18"/>
                <w:rFonts w:eastAsia="SimHei"/>
              </w:rPr>
              <w:t>Reward</w:t>
            </w:r>
          </w:p>
        </w:tc>
        <w:tc>
          <w:tcPr>
            <w:tcW w:type="dxa" w:w="1701"/>
            <w:shd w:fill="2C2C3A" w:val="clear"/>
          </w:tcPr>
          <w:p>
            <w:pPr>
              <w:jc w:val="center"/>
            </w:pPr>
            <w:r/>
            <w:r>
              <w:rPr>
                <w:rFonts w:ascii="Times New Roman" w:hAnsi="Times New Roman"/>
                <w:b/>
                <w:color w:val="FFFFFF"/>
                <w:sz w:val="18"/>
                <w:rFonts w:eastAsia="SimHei"/>
              </w:rPr>
              <w:t>Lockup</w:t>
            </w:r>
          </w:p>
        </w:tc>
        <w:tc>
          <w:tcPr>
            <w:tcW w:type="dxa" w:w="1814"/>
            <w:shd w:fill="2C2C3A" w:val="clear"/>
          </w:tcPr>
          <w:p>
            <w:pPr>
              <w:jc w:val="center"/>
            </w:pPr>
            <w:r/>
            <w:r>
              <w:rPr>
                <w:rFonts w:ascii="Times New Roman" w:hAnsi="Times New Roman"/>
                <w:b/>
                <w:color w:val="FFFFFF"/>
                <w:sz w:val="18"/>
                <w:rFonts w:eastAsia="SimHei"/>
              </w:rPr>
              <w:t>Target Audience</w:t>
            </w:r>
          </w:p>
        </w:tc>
      </w:tr>
      <w:tr>
        <w:tc>
          <w:tcPr>
            <w:tcW w:type="dxa" w:w="1587"/>
          </w:tcPr>
          <w:p>
            <w:r/>
            <w:r>
              <w:rPr>
                <w:rFonts w:ascii="Times New Roman" w:hAnsi="Times New Roman"/>
                <w:color w:val="2D2D2D"/>
                <w:sz w:val="18"/>
                <w:rFonts w:eastAsia="SimSun"/>
              </w:rPr>
              <w:t>A. Holding Dividend</w:t>
            </w:r>
          </w:p>
        </w:tc>
        <w:tc>
          <w:tcPr>
            <w:tcW w:type="dxa" w:w="2268"/>
          </w:tcPr>
          <w:p>
            <w:pPr>
              <w:jc w:val="right"/>
            </w:pPr>
            <w:r/>
            <w:r>
              <w:rPr>
                <w:rFonts w:ascii="Times New Roman" w:hAnsi="Times New Roman"/>
                <w:color w:val="2D2D2D"/>
                <w:sz w:val="18"/>
                <w:rFonts w:eastAsia="SimSun"/>
              </w:rPr>
              <w:t>Passive yield for holding pGOLD</w:t>
            </w:r>
          </w:p>
        </w:tc>
        <w:tc>
          <w:tcPr>
            <w:tcW w:type="dxa" w:w="1984"/>
          </w:tcPr>
          <w:p>
            <w:pPr>
              <w:jc w:val="right"/>
            </w:pPr>
            <w:r/>
            <w:r>
              <w:rPr>
                <w:rFonts w:ascii="Times New Roman" w:hAnsi="Times New Roman"/>
                <w:color w:val="2D2D2D"/>
                <w:sz w:val="18"/>
                <w:rFonts w:eastAsia="SimSun"/>
              </w:rPr>
              <w:t>3.5% APR</w:t>
            </w:r>
          </w:p>
        </w:tc>
        <w:tc>
          <w:tcPr>
            <w:tcW w:type="dxa" w:w="1701"/>
          </w:tcPr>
          <w:p>
            <w:pPr>
              <w:jc w:val="right"/>
            </w:pPr>
            <w:r/>
            <w:r>
              <w:rPr>
                <w:rFonts w:ascii="Times New Roman" w:hAnsi="Times New Roman"/>
                <w:color w:val="2D2D2D"/>
                <w:sz w:val="18"/>
                <w:rFonts w:eastAsia="SimSun"/>
              </w:rPr>
              <w:t>No lockup</w:t>
            </w:r>
          </w:p>
        </w:tc>
        <w:tc>
          <w:tcPr>
            <w:tcW w:type="dxa" w:w="1814"/>
          </w:tcPr>
          <w:p>
            <w:pPr>
              <w:jc w:val="right"/>
            </w:pPr>
            <w:r/>
            <w:r>
              <w:rPr>
                <w:rFonts w:ascii="Times New Roman" w:hAnsi="Times New Roman"/>
                <w:color w:val="2D2D2D"/>
                <w:sz w:val="18"/>
                <w:rFonts w:eastAsia="SimSun"/>
              </w:rPr>
              <w:t>Long-term holders</w:t>
            </w:r>
          </w:p>
        </w:tc>
      </w:tr>
      <w:tr>
        <w:tc>
          <w:tcPr>
            <w:tcW w:type="dxa" w:w="1587"/>
            <w:shd w:fill="F8F6F0" w:val="clear"/>
          </w:tcPr>
          <w:p>
            <w:r/>
            <w:r>
              <w:rPr>
                <w:rFonts w:ascii="Times New Roman" w:hAnsi="Times New Roman"/>
                <w:color w:val="2D2D2D"/>
                <w:sz w:val="18"/>
                <w:rFonts w:eastAsia="SimSun"/>
              </w:rPr>
              <w:t>B. Top 100 Master Traders</w:t>
            </w:r>
          </w:p>
        </w:tc>
        <w:tc>
          <w:tcPr>
            <w:tcW w:type="dxa" w:w="2268"/>
            <w:shd w:fill="F8F6F0" w:val="clear"/>
          </w:tcPr>
          <w:p>
            <w:pPr>
              <w:jc w:val="right"/>
            </w:pPr>
            <w:r/>
            <w:r>
              <w:rPr>
                <w:rFonts w:ascii="Times New Roman" w:hAnsi="Times New Roman"/>
                <w:color w:val="2D2D2D"/>
                <w:sz w:val="18"/>
                <w:rFonts w:eastAsia="SimSun"/>
              </w:rPr>
              <w:t>Top 100 ranked by volume + deposit</w:t>
            </w:r>
          </w:p>
        </w:tc>
        <w:tc>
          <w:tcPr>
            <w:tcW w:type="dxa" w:w="1984"/>
            <w:shd w:fill="F8F6F0" w:val="clear"/>
          </w:tcPr>
          <w:p>
            <w:pPr>
              <w:jc w:val="right"/>
            </w:pPr>
            <w:r/>
            <w:r>
              <w:rPr>
                <w:rFonts w:ascii="Times New Roman" w:hAnsi="Times New Roman"/>
                <w:color w:val="2D2D2D"/>
                <w:sz w:val="18"/>
                <w:rFonts w:eastAsia="SimSun"/>
              </w:rPr>
              <w:t>Monthly 300% / Quarterly 500% / Annual 1000%</w:t>
            </w:r>
          </w:p>
        </w:tc>
        <w:tc>
          <w:tcPr>
            <w:tcW w:type="dxa" w:w="1701"/>
            <w:shd w:fill="F8F6F0" w:val="clear"/>
          </w:tcPr>
          <w:p>
            <w:pPr>
              <w:jc w:val="right"/>
            </w:pPr>
            <w:r/>
            <w:r>
              <w:rPr>
                <w:rFonts w:ascii="Times New Roman" w:hAnsi="Times New Roman"/>
                <w:color w:val="2D2D2D"/>
                <w:sz w:val="18"/>
                <w:rFonts w:eastAsia="SimSun"/>
              </w:rPr>
              <w:t>10-year linear vesting</w:t>
            </w:r>
          </w:p>
        </w:tc>
        <w:tc>
          <w:tcPr>
            <w:tcW w:type="dxa" w:w="1814"/>
            <w:shd w:fill="F8F6F0" w:val="clear"/>
          </w:tcPr>
          <w:p>
            <w:pPr>
              <w:jc w:val="right"/>
            </w:pPr>
            <w:r/>
            <w:r>
              <w:rPr>
                <w:rFonts w:ascii="Times New Roman" w:hAnsi="Times New Roman"/>
                <w:color w:val="2D2D2D"/>
                <w:sz w:val="18"/>
                <w:rFonts w:eastAsia="SimSun"/>
              </w:rPr>
              <w:t>HFT, market makers</w:t>
            </w:r>
          </w:p>
        </w:tc>
      </w:tr>
      <w:tr>
        <w:tc>
          <w:tcPr>
            <w:tcW w:type="dxa" w:w="1587"/>
          </w:tcPr>
          <w:p>
            <w:r/>
            <w:r>
              <w:rPr>
                <w:rFonts w:ascii="Times New Roman" w:hAnsi="Times New Roman"/>
                <w:color w:val="2D2D2D"/>
                <w:sz w:val="18"/>
                <w:rFonts w:eastAsia="SimSun"/>
              </w:rPr>
              <w:t>C. Burn Mining</w:t>
            </w:r>
          </w:p>
        </w:tc>
        <w:tc>
          <w:tcPr>
            <w:tcW w:type="dxa" w:w="2268"/>
          </w:tcPr>
          <w:p>
            <w:pPr>
              <w:jc w:val="right"/>
            </w:pPr>
            <w:r/>
            <w:r>
              <w:rPr>
                <w:rFonts w:ascii="Times New Roman" w:hAnsi="Times New Roman"/>
                <w:color w:val="2D2D2D"/>
                <w:sz w:val="18"/>
                <w:rFonts w:eastAsia="SimSun"/>
              </w:rPr>
              <w:t>Independent parallel track, additive to Top 100. No staking required.</w:t>
            </w:r>
          </w:p>
        </w:tc>
        <w:tc>
          <w:tcPr>
            <w:tcW w:type="dxa" w:w="1984"/>
          </w:tcPr>
          <w:p>
            <w:pPr>
              <w:jc w:val="right"/>
            </w:pPr>
            <w:r/>
            <w:r>
              <w:rPr>
                <w:rFonts w:ascii="Times New Roman" w:hAnsi="Times New Roman"/>
                <w:color w:val="2D2D2D"/>
                <w:sz w:val="18"/>
                <w:rFonts w:eastAsia="SimSun"/>
              </w:rPr>
              <w:t>Loss × 1000%</w:t>
            </w:r>
          </w:p>
        </w:tc>
        <w:tc>
          <w:tcPr>
            <w:tcW w:type="dxa" w:w="1701"/>
          </w:tcPr>
          <w:p>
            <w:pPr>
              <w:jc w:val="right"/>
            </w:pPr>
            <w:r/>
            <w:r>
              <w:rPr>
                <w:rFonts w:ascii="Times New Roman" w:hAnsi="Times New Roman"/>
                <w:color w:val="2D2D2D"/>
                <w:sz w:val="18"/>
                <w:rFonts w:eastAsia="SimSun"/>
              </w:rPr>
              <w:t>10-year linear vesting</w:t>
            </w:r>
          </w:p>
        </w:tc>
        <w:tc>
          <w:tcPr>
            <w:tcW w:type="dxa" w:w="1814"/>
          </w:tcPr>
          <w:p>
            <w:pPr>
              <w:jc w:val="right"/>
            </w:pPr>
            <w:r/>
            <w:r>
              <w:rPr>
                <w:rFonts w:ascii="Times New Roman" w:hAnsi="Times New Roman"/>
                <w:color w:val="2D2D2D"/>
                <w:sz w:val="18"/>
                <w:rFonts w:eastAsia="SimSun"/>
              </w:rPr>
              <w:t>All traders (belief track)</w:t>
            </w:r>
          </w:p>
        </w:tc>
      </w:tr>
      <w:tr>
        <w:tc>
          <w:tcPr>
            <w:tcW w:type="dxa" w:w="1587"/>
            <w:shd w:fill="F8F6F0" w:val="clear"/>
          </w:tcPr>
          <w:p>
            <w:r/>
            <w:r>
              <w:rPr>
                <w:rFonts w:ascii="Times New Roman" w:hAnsi="Times New Roman"/>
                <w:color w:val="2D2D2D"/>
                <w:sz w:val="18"/>
                <w:rFonts w:eastAsia="SimSun"/>
              </w:rPr>
              <w:t>D. Fee Privileges</w:t>
            </w:r>
          </w:p>
        </w:tc>
        <w:tc>
          <w:tcPr>
            <w:tcW w:type="dxa" w:w="2268"/>
            <w:shd w:fill="F8F6F0" w:val="clear"/>
          </w:tcPr>
          <w:p>
            <w:pPr>
              <w:jc w:val="right"/>
            </w:pPr>
            <w:r/>
            <w:r>
              <w:rPr>
                <w:rFonts w:ascii="Times New Roman" w:hAnsi="Times New Roman"/>
                <w:color w:val="2D2D2D"/>
                <w:sz w:val="18"/>
                <w:rFonts w:eastAsia="SimSun"/>
              </w:rPr>
              <w:t>Tiered fee discounts by volume</w:t>
            </w:r>
          </w:p>
        </w:tc>
        <w:tc>
          <w:tcPr>
            <w:tcW w:type="dxa" w:w="1984"/>
            <w:shd w:fill="F8F6F0" w:val="clear"/>
          </w:tcPr>
          <w:p>
            <w:pPr>
              <w:jc w:val="right"/>
            </w:pPr>
            <w:r/>
            <w:r>
              <w:rPr>
                <w:rFonts w:ascii="Times New Roman" w:hAnsi="Times New Roman"/>
                <w:color w:val="2D2D2D"/>
                <w:sz w:val="18"/>
                <w:rFonts w:eastAsia="SimSun"/>
              </w:rPr>
              <w:t>Up to 50% off</w:t>
            </w:r>
          </w:p>
        </w:tc>
        <w:tc>
          <w:tcPr>
            <w:tcW w:type="dxa" w:w="1701"/>
            <w:shd w:fill="F8F6F0" w:val="clear"/>
          </w:tcPr>
          <w:p>
            <w:pPr>
              <w:jc w:val="right"/>
            </w:pPr>
            <w:r/>
            <w:r>
              <w:rPr>
                <w:rFonts w:ascii="Times New Roman" w:hAnsi="Times New Roman"/>
                <w:color w:val="2D2D2D"/>
                <w:sz w:val="18"/>
                <w:rFonts w:eastAsia="SimSun"/>
              </w:rPr>
              <w:t>—</w:t>
            </w:r>
          </w:p>
        </w:tc>
        <w:tc>
          <w:tcPr>
            <w:tcW w:type="dxa" w:w="1814"/>
            <w:shd w:fill="F8F6F0" w:val="clear"/>
          </w:tcPr>
          <w:p>
            <w:pPr>
              <w:jc w:val="right"/>
            </w:pPr>
            <w:r/>
            <w:r>
              <w:rPr>
                <w:rFonts w:ascii="Times New Roman" w:hAnsi="Times New Roman"/>
                <w:color w:val="2D2D2D"/>
                <w:sz w:val="18"/>
                <w:rFonts w:eastAsia="SimSun"/>
              </w:rPr>
              <w:t>High-volume traders</w:t>
            </w:r>
          </w:p>
        </w:tc>
      </w:tr>
    </w:tbl>
    <w:p>
      <w:pPr>
        <w:spacing w:before="160" w:after="160"/>
        <w:ind w:left="283"/>
        <w:shd w:fill="F2F7E8" w:val="clear"/>
        <w:pBdr>
          <w:left w:val="single" w:sz="12" w:space="8" w:color="4ECB71"/>
        </w:pBdr>
      </w:pPr>
      <w:r>
        <w:rPr>
          <w:rFonts w:ascii="Times New Roman" w:hAnsi="Times New Roman"/>
          <w:color w:val="444444"/>
          <w:sz w:val="20"/>
          <w:rFonts w:eastAsia="SimSun"/>
        </w:rPr>
        <w:t>Design Philosophy: Track A retains, B attracts, C believes, D nurtures, E thanks. Track C (Burn Mining) runs parallel to and independent of Track B (Top 100) — rewards are additive. C-track is the belief track: no staking required, just trade and burn; continuous burning, continuous prosperity. Covers every user profile from whales to retail traders.</w:t>
      </w:r>
    </w:p>
    <w:p>
      <w:pPr>
        <w:pStyle w:val="Heading2"/>
      </w:pPr>
      <w:r>
        <w:t>3.2  Track B: Top 100 Master Trader Seats</w:t>
      </w:r>
    </w:p>
    <w:p>
      <w:pPr>
        <w:spacing w:line="360" w:lineRule="auto"/>
      </w:pPr>
      <w:r>
        <w:rPr>
          <w:rFonts w:ascii="Times New Roman" w:hAnsi="Times New Roman"/>
          <w:sz w:val="22"/>
          <w:rFonts w:eastAsia="SimSun"/>
        </w:rPr>
        <w:t xml:space="preserve">This is the core engine of the entire incentive system. Every month, quarter, and year, the </w:t>
      </w:r>
      <w:r>
        <w:rPr>
          <w:rFonts w:ascii="Times New Roman" w:hAnsi="Times New Roman"/>
          <w:b/>
          <w:color w:val="9A7B2A"/>
          <w:sz w:val="22"/>
          <w:rFonts w:eastAsia="SimHei"/>
        </w:rPr>
        <w:t>Top 100</w:t>
      </w:r>
      <w:r>
        <w:rPr>
          <w:rFonts w:ascii="Times New Roman" w:hAnsi="Times New Roman"/>
          <w:sz w:val="22"/>
          <w:rFonts w:eastAsia="SimSun"/>
        </w:rPr>
        <w:t xml:space="preserve"> Master Traders are selected based on effective trading volume. Winners deposit pGOLD as the reward base and receive multiplier rewards — locked for </w:t>
      </w:r>
      <w:r>
        <w:rPr>
          <w:rFonts w:ascii="Times New Roman" w:hAnsi="Times New Roman"/>
          <w:b/>
          <w:color w:val="9A7B2A"/>
          <w:sz w:val="22"/>
          <w:rFonts w:eastAsia="SimHei"/>
        </w:rPr>
        <w:t>7 years</w:t>
      </w:r>
      <w:r>
        <w:rPr>
          <w:rFonts w:ascii="Times New Roman" w:hAnsi="Times New Roman"/>
          <w:sz w:val="22"/>
          <w:rFonts w:eastAsia="SimSun"/>
        </w:rPr>
        <w:t xml:space="preserve"> with </w:t>
      </w:r>
      <w:r>
        <w:rPr>
          <w:rFonts w:ascii="Times New Roman" w:hAnsi="Times New Roman"/>
          <w:b/>
          <w:color w:val="9A7B2A"/>
          <w:sz w:val="22"/>
          <w:rFonts w:eastAsia="SimHei"/>
        </w:rPr>
        <w:t>linear vesting</w:t>
      </w:r>
      <w:r>
        <w:rPr>
          <w:rFonts w:ascii="Times New Roman" w:hAnsi="Times New Roman"/>
          <w:sz w:val="22"/>
          <w:rFonts w:eastAsia="SimSun"/>
        </w:rPr>
        <w:t>.</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14"/>
            <w:shd w:fill="2C2C3A" w:val="clear"/>
          </w:tcPr>
          <w:p>
            <w:pPr>
              <w:jc w:val="center"/>
            </w:pPr>
            <w:r/>
            <w:r>
              <w:rPr>
                <w:rFonts w:ascii="Times New Roman" w:hAnsi="Times New Roman"/>
                <w:b/>
                <w:color w:val="FFFFFF"/>
                <w:sz w:val="18"/>
                <w:rFonts w:eastAsia="SimHei"/>
              </w:rPr>
              <w:t>Tier</w:t>
            </w:r>
          </w:p>
        </w:tc>
        <w:tc>
          <w:tcPr>
            <w:tcW w:type="dxa" w:w="1701"/>
            <w:shd w:fill="2C2C3A" w:val="clear"/>
          </w:tcPr>
          <w:p>
            <w:pPr>
              <w:jc w:val="center"/>
            </w:pPr>
            <w:r/>
            <w:r>
              <w:rPr>
                <w:rFonts w:ascii="Times New Roman" w:hAnsi="Times New Roman"/>
                <w:b/>
                <w:color w:val="FFFFFF"/>
                <w:sz w:val="18"/>
                <w:rFonts w:eastAsia="SimHei"/>
              </w:rPr>
              <w:t>Reward Multiplier</w:t>
            </w:r>
          </w:p>
        </w:tc>
        <w:tc>
          <w:tcPr>
            <w:tcW w:type="dxa" w:w="1587"/>
            <w:shd w:fill="2C2C3A" w:val="clear"/>
          </w:tcPr>
          <w:p>
            <w:pPr>
              <w:jc w:val="center"/>
            </w:pPr>
            <w:r/>
            <w:r>
              <w:rPr>
                <w:rFonts w:ascii="Times New Roman" w:hAnsi="Times New Roman"/>
                <w:b/>
                <w:color w:val="FFFFFF"/>
                <w:sz w:val="18"/>
                <w:rFonts w:eastAsia="SimHei"/>
              </w:rPr>
              <w:t>Lockup</w:t>
            </w:r>
          </w:p>
        </w:tc>
        <w:tc>
          <w:tcPr>
            <w:tcW w:type="dxa" w:w="1701"/>
            <w:shd w:fill="2C2C3A" w:val="clear"/>
          </w:tcPr>
          <w:p>
            <w:pPr>
              <w:jc w:val="center"/>
            </w:pPr>
            <w:r/>
            <w:r>
              <w:rPr>
                <w:rFonts w:ascii="Times New Roman" w:hAnsi="Times New Roman"/>
                <w:b/>
                <w:color w:val="FFFFFF"/>
                <w:sz w:val="18"/>
                <w:rFonts w:eastAsia="SimHei"/>
              </w:rPr>
              <w:t>Effective APR</w:t>
            </w:r>
          </w:p>
        </w:tc>
        <w:tc>
          <w:tcPr>
            <w:tcW w:type="dxa" w:w="2551"/>
            <w:shd w:fill="2C2C3A" w:val="clear"/>
          </w:tcPr>
          <w:p>
            <w:pPr>
              <w:jc w:val="center"/>
            </w:pPr>
            <w:r/>
            <w:r>
              <w:rPr>
                <w:rFonts w:ascii="Times New Roman" w:hAnsi="Times New Roman"/>
                <w:b/>
                <w:color w:val="FFFFFF"/>
                <w:sz w:val="18"/>
                <w:rFonts w:eastAsia="SimHei"/>
              </w:rPr>
              <w:t>Volume Threshold</w:t>
            </w:r>
          </w:p>
        </w:tc>
      </w:tr>
      <w:tr>
        <w:tc>
          <w:tcPr>
            <w:tcW w:type="dxa" w:w="1814"/>
          </w:tcPr>
          <w:p>
            <w:r/>
            <w:r>
              <w:rPr>
                <w:rFonts w:ascii="Times New Roman" w:hAnsi="Times New Roman"/>
                <w:color w:val="2D2D2D"/>
                <w:sz w:val="18"/>
                <w:rFonts w:eastAsia="SimSun"/>
              </w:rPr>
              <w:t>Monthly Top 100</w:t>
            </w:r>
          </w:p>
        </w:tc>
        <w:tc>
          <w:tcPr>
            <w:tcW w:type="dxa" w:w="1701"/>
          </w:tcPr>
          <w:p>
            <w:pPr>
              <w:jc w:val="right"/>
            </w:pPr>
            <w:r/>
            <w:r>
              <w:rPr>
                <w:rFonts w:ascii="Times New Roman" w:hAnsi="Times New Roman"/>
                <w:color w:val="2D2D2D"/>
                <w:sz w:val="18"/>
                <w:rFonts w:eastAsia="SimSun"/>
              </w:rPr>
              <w:t>300%</w:t>
            </w:r>
          </w:p>
        </w:tc>
        <w:tc>
          <w:tcPr>
            <w:tcW w:type="dxa" w:w="1587"/>
          </w:tcPr>
          <w:p>
            <w:pPr>
              <w:jc w:val="right"/>
            </w:pPr>
            <w:r/>
            <w:r>
              <w:rPr>
                <w:rFonts w:ascii="Times New Roman" w:hAnsi="Times New Roman"/>
                <w:color w:val="2D2D2D"/>
                <w:sz w:val="18"/>
                <w:rFonts w:eastAsia="SimSun"/>
              </w:rPr>
              <w:t>10-year linear</w:t>
            </w:r>
          </w:p>
        </w:tc>
        <w:tc>
          <w:tcPr>
            <w:tcW w:type="dxa" w:w="1701"/>
          </w:tcPr>
          <w:p>
            <w:pPr>
              <w:jc w:val="right"/>
            </w:pPr>
            <w:r/>
            <w:r>
              <w:rPr>
                <w:rFonts w:ascii="Times New Roman" w:hAnsi="Times New Roman"/>
                <w:color w:val="2D2D2D"/>
                <w:sz w:val="18"/>
                <w:rFonts w:eastAsia="SimSun"/>
              </w:rPr>
              <w:t>~30% p.a.</w:t>
            </w:r>
          </w:p>
        </w:tc>
        <w:tc>
          <w:tcPr>
            <w:tcW w:type="dxa" w:w="2551"/>
          </w:tcPr>
          <w:p>
            <w:pPr>
              <w:jc w:val="right"/>
            </w:pPr>
            <w:r/>
            <w:r>
              <w:rPr>
                <w:rFonts w:ascii="Times New Roman" w:hAnsi="Times New Roman"/>
                <w:color w:val="2D2D2D"/>
                <w:sz w:val="18"/>
                <w:rFonts w:eastAsia="SimSun"/>
              </w:rPr>
              <w:t>≥ $1M / month</w:t>
            </w:r>
          </w:p>
        </w:tc>
      </w:tr>
      <w:tr>
        <w:tc>
          <w:tcPr>
            <w:tcW w:type="dxa" w:w="1814"/>
            <w:shd w:fill="F8F6F0" w:val="clear"/>
          </w:tcPr>
          <w:p>
            <w:r/>
            <w:r>
              <w:rPr>
                <w:rFonts w:ascii="Times New Roman" w:hAnsi="Times New Roman"/>
                <w:color w:val="2D2D2D"/>
                <w:sz w:val="18"/>
                <w:rFonts w:eastAsia="SimSun"/>
              </w:rPr>
              <w:t>Quarterly Top 100</w:t>
            </w:r>
          </w:p>
        </w:tc>
        <w:tc>
          <w:tcPr>
            <w:tcW w:type="dxa" w:w="1701"/>
            <w:shd w:fill="F8F6F0" w:val="clear"/>
          </w:tcPr>
          <w:p>
            <w:pPr>
              <w:jc w:val="right"/>
            </w:pPr>
            <w:r/>
            <w:r>
              <w:rPr>
                <w:rFonts w:ascii="Times New Roman" w:hAnsi="Times New Roman"/>
                <w:color w:val="2D2D2D"/>
                <w:sz w:val="18"/>
                <w:rFonts w:eastAsia="SimSun"/>
              </w:rPr>
              <w:t>500%</w:t>
            </w:r>
          </w:p>
        </w:tc>
        <w:tc>
          <w:tcPr>
            <w:tcW w:type="dxa" w:w="1587"/>
            <w:shd w:fill="F8F6F0" w:val="clear"/>
          </w:tcPr>
          <w:p>
            <w:pPr>
              <w:jc w:val="right"/>
            </w:pPr>
            <w:r/>
            <w:r>
              <w:rPr>
                <w:rFonts w:ascii="Times New Roman" w:hAnsi="Times New Roman"/>
                <w:color w:val="2D2D2D"/>
                <w:sz w:val="18"/>
                <w:rFonts w:eastAsia="SimSun"/>
              </w:rPr>
              <w:t>10-year linear</w:t>
            </w:r>
          </w:p>
        </w:tc>
        <w:tc>
          <w:tcPr>
            <w:tcW w:type="dxa" w:w="1701"/>
            <w:shd w:fill="F8F6F0" w:val="clear"/>
          </w:tcPr>
          <w:p>
            <w:pPr>
              <w:jc w:val="right"/>
            </w:pPr>
            <w:r/>
            <w:r>
              <w:rPr>
                <w:rFonts w:ascii="Times New Roman" w:hAnsi="Times New Roman"/>
                <w:color w:val="2D2D2D"/>
                <w:sz w:val="18"/>
                <w:rFonts w:eastAsia="SimSun"/>
              </w:rPr>
              <w:t>~50% p.a.</w:t>
            </w:r>
          </w:p>
        </w:tc>
        <w:tc>
          <w:tcPr>
            <w:tcW w:type="dxa" w:w="2551"/>
            <w:shd w:fill="F8F6F0" w:val="clear"/>
          </w:tcPr>
          <w:p>
            <w:pPr>
              <w:jc w:val="right"/>
            </w:pPr>
            <w:r/>
            <w:r>
              <w:rPr>
                <w:rFonts w:ascii="Times New Roman" w:hAnsi="Times New Roman"/>
                <w:color w:val="2D2D2D"/>
                <w:sz w:val="18"/>
                <w:rFonts w:eastAsia="SimSun"/>
              </w:rPr>
              <w:t>≥ $30M / quarter</w:t>
            </w:r>
          </w:p>
        </w:tc>
      </w:tr>
      <w:tr>
        <w:tc>
          <w:tcPr>
            <w:tcW w:type="dxa" w:w="1814"/>
          </w:tcPr>
          <w:p>
            <w:r/>
            <w:r>
              <w:rPr>
                <w:rFonts w:ascii="Times New Roman" w:hAnsi="Times New Roman"/>
                <w:color w:val="2D2D2D"/>
                <w:sz w:val="18"/>
                <w:rFonts w:eastAsia="SimSun"/>
              </w:rPr>
              <w:t>Annual Top 100</w:t>
            </w:r>
          </w:p>
        </w:tc>
        <w:tc>
          <w:tcPr>
            <w:tcW w:type="dxa" w:w="1701"/>
          </w:tcPr>
          <w:p>
            <w:pPr>
              <w:jc w:val="right"/>
            </w:pPr>
            <w:r/>
            <w:r>
              <w:rPr>
                <w:rFonts w:ascii="Times New Roman" w:hAnsi="Times New Roman"/>
                <w:color w:val="2D2D2D"/>
                <w:sz w:val="18"/>
                <w:rFonts w:eastAsia="SimSun"/>
              </w:rPr>
              <w:t>1000%</w:t>
            </w:r>
          </w:p>
        </w:tc>
        <w:tc>
          <w:tcPr>
            <w:tcW w:type="dxa" w:w="1587"/>
          </w:tcPr>
          <w:p>
            <w:pPr>
              <w:jc w:val="right"/>
            </w:pPr>
            <w:r/>
            <w:r>
              <w:rPr>
                <w:rFonts w:ascii="Times New Roman" w:hAnsi="Times New Roman"/>
                <w:color w:val="2D2D2D"/>
                <w:sz w:val="18"/>
                <w:rFonts w:eastAsia="SimSun"/>
              </w:rPr>
              <w:t>10-year linear</w:t>
            </w:r>
          </w:p>
        </w:tc>
        <w:tc>
          <w:tcPr>
            <w:tcW w:type="dxa" w:w="1701"/>
          </w:tcPr>
          <w:p>
            <w:pPr>
              <w:jc w:val="right"/>
            </w:pPr>
            <w:r/>
            <w:r>
              <w:rPr>
                <w:rFonts w:ascii="Times New Roman" w:hAnsi="Times New Roman"/>
                <w:color w:val="2D2D2D"/>
                <w:sz w:val="18"/>
                <w:rFonts w:eastAsia="SimSun"/>
              </w:rPr>
              <w:t>~100% p.a.</w:t>
            </w:r>
          </w:p>
        </w:tc>
        <w:tc>
          <w:tcPr>
            <w:tcW w:type="dxa" w:w="2551"/>
          </w:tcPr>
          <w:p>
            <w:pPr>
              <w:jc w:val="right"/>
            </w:pPr>
            <w:r/>
            <w:r>
              <w:rPr>
                <w:rFonts w:ascii="Times New Roman" w:hAnsi="Times New Roman"/>
                <w:color w:val="2D2D2D"/>
                <w:sz w:val="18"/>
                <w:rFonts w:eastAsia="SimSun"/>
              </w:rPr>
              <w:t>≥ $500M / year</w:t>
            </w:r>
          </w:p>
        </w:tc>
      </w:tr>
    </w:tbl>
    <w:p>
      <w:pPr>
        <w:pStyle w:val="Heading3"/>
      </w:pPr>
      <w:r>
        <w:t>Hard Cap: 1,000%</w:t>
      </w:r>
    </w:p>
    <w:p>
      <w:pPr>
        <w:spacing w:line="360" w:lineRule="auto"/>
      </w:pPr>
      <w:r>
        <w:rPr>
          <w:rFonts w:ascii="Times New Roman" w:hAnsi="Times New Roman"/>
          <w:sz w:val="22"/>
          <w:rFonts w:eastAsia="SimSun"/>
        </w:rPr>
        <w:t xml:space="preserve">No user may receive total rewards exceeding </w:t>
      </w:r>
      <w:r>
        <w:rPr>
          <w:rFonts w:ascii="Times New Roman" w:hAnsi="Times New Roman"/>
          <w:b/>
          <w:color w:val="9A7B2A"/>
          <w:sz w:val="22"/>
          <w:rFonts w:eastAsia="SimHei"/>
        </w:rPr>
        <w:t>1,000%</w:t>
      </w:r>
      <w:r>
        <w:rPr>
          <w:rFonts w:ascii="Times New Roman" w:hAnsi="Times New Roman"/>
          <w:sz w:val="22"/>
          <w:rFonts w:eastAsia="SimSun"/>
        </w:rPr>
        <w:t xml:space="preserve"> of their deposit across all tiers. The Cascading Coverage mechanism — Annual absorbs Quarterly, Quarterly absorbs Monthly — enforces this iron rule. Rewards never stack.</w:t>
      </w:r>
    </w:p>
    <w:p>
      <w:pPr>
        <w:pStyle w:val="Heading3"/>
      </w:pPr>
      <w:r>
        <w:t>Deposit Anchoring: Ranking is the Ticket, Deposit is the Base</w:t>
      </w:r>
    </w:p>
    <w:p>
      <w:pPr>
        <w:spacing w:line="360" w:lineRule="auto"/>
      </w:pPr>
      <w:r>
        <w:rPr>
          <w:rFonts w:ascii="Times New Roman" w:hAnsi="Times New Roman"/>
          <w:sz w:val="22"/>
          <w:rFonts w:eastAsia="SimSun"/>
        </w:rPr>
        <w:t xml:space="preserve">Ranking determines eligibility. The reward amount is determined solely by the deposit amount: </w:t>
      </w:r>
      <w:r>
        <w:rPr>
          <w:rFonts w:ascii="Times New Roman" w:hAnsi="Times New Roman"/>
          <w:b/>
          <w:color w:val="9A7B2A"/>
          <w:sz w:val="22"/>
          <w:rFonts w:eastAsia="SimHei"/>
        </w:rPr>
        <w:t>Reward = Deposit × Reward Multiplier</w:t>
      </w:r>
      <w:r>
        <w:rPr>
          <w:rFonts w:ascii="Times New Roman" w:hAnsi="Times New Roman"/>
          <w:sz w:val="22"/>
          <w:rFonts w:eastAsia="SimSun"/>
        </w:rPr>
        <w:t>. Users must deposit fresh pGOLD in the month they win. This ensures rewards have real cost, locked deposits reduce circulating supply pressure, and the protocol receives continuous liquidity injections.</w:t>
      </w:r>
    </w:p>
    <w:p>
      <w:pPr>
        <w:pStyle w:val="Heading3"/>
      </w:pPr>
      <w:r>
        <w:t>Deposit Tier Distribution (Conservative Scenario)</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68"/>
            <w:shd w:fill="2C2C3A" w:val="clear"/>
          </w:tcPr>
          <w:p>
            <w:pPr>
              <w:jc w:val="center"/>
            </w:pPr>
            <w:r/>
            <w:r>
              <w:rPr>
                <w:rFonts w:ascii="Times New Roman" w:hAnsi="Times New Roman"/>
                <w:b/>
                <w:color w:val="FFFFFF"/>
                <w:sz w:val="18"/>
                <w:rFonts w:eastAsia="SimHei"/>
              </w:rPr>
              <w:t>Rank Range</w:t>
            </w:r>
          </w:p>
        </w:tc>
        <w:tc>
          <w:tcPr>
            <w:tcW w:type="dxa" w:w="2268"/>
            <w:shd w:fill="2C2C3A" w:val="clear"/>
          </w:tcPr>
          <w:p>
            <w:pPr>
              <w:jc w:val="center"/>
            </w:pPr>
            <w:r/>
            <w:r>
              <w:rPr>
                <w:rFonts w:ascii="Times New Roman" w:hAnsi="Times New Roman"/>
                <w:b/>
                <w:color w:val="FFFFFF"/>
                <w:sz w:val="18"/>
                <w:rFonts w:eastAsia="SimHei"/>
              </w:rPr>
              <w:t>Suggested Deposit</w:t>
            </w:r>
          </w:p>
        </w:tc>
        <w:tc>
          <w:tcPr>
            <w:tcW w:type="dxa" w:w="2268"/>
            <w:shd w:fill="2C2C3A" w:val="clear"/>
          </w:tcPr>
          <w:p>
            <w:pPr>
              <w:jc w:val="center"/>
            </w:pPr>
            <w:r/>
            <w:r>
              <w:rPr>
                <w:rFonts w:ascii="Times New Roman" w:hAnsi="Times New Roman"/>
                <w:b/>
                <w:color w:val="FFFFFF"/>
                <w:sz w:val="18"/>
                <w:rFonts w:eastAsia="SimHei"/>
              </w:rPr>
              <w:t>USD Equivalent</w:t>
            </w:r>
          </w:p>
        </w:tc>
        <w:tc>
          <w:tcPr>
            <w:tcW w:type="dxa" w:w="2551"/>
            <w:shd w:fill="2C2C3A" w:val="clear"/>
          </w:tcPr>
          <w:p>
            <w:pPr>
              <w:jc w:val="center"/>
            </w:pPr>
            <w:r/>
            <w:r>
              <w:rPr>
                <w:rFonts w:ascii="Times New Roman" w:hAnsi="Times New Roman"/>
                <w:b/>
                <w:color w:val="FFFFFF"/>
                <w:sz w:val="18"/>
                <w:rFonts w:eastAsia="SimHei"/>
              </w:rPr>
              <w:t>Annual Reward</w:t>
            </w:r>
          </w:p>
        </w:tc>
      </w:tr>
      <w:tr>
        <w:tc>
          <w:tcPr>
            <w:tcW w:type="dxa" w:w="2268"/>
          </w:tcPr>
          <w:p>
            <w:r/>
            <w:r>
              <w:rPr>
                <w:rFonts w:ascii="Times New Roman" w:hAnsi="Times New Roman"/>
                <w:color w:val="2D2D2D"/>
                <w:sz w:val="18"/>
                <w:rFonts w:eastAsia="SimSun"/>
              </w:rPr>
              <w:t>Top 1–10 (Whales)</w:t>
            </w:r>
          </w:p>
        </w:tc>
        <w:tc>
          <w:tcPr>
            <w:tcW w:type="dxa" w:w="2268"/>
          </w:tcPr>
          <w:p>
            <w:pPr>
              <w:jc w:val="right"/>
            </w:pPr>
            <w:r/>
            <w:r>
              <w:rPr>
                <w:rFonts w:ascii="Times New Roman" w:hAnsi="Times New Roman"/>
                <w:color w:val="2D2D2D"/>
                <w:sz w:val="18"/>
                <w:rFonts w:eastAsia="SimSun"/>
              </w:rPr>
              <w:t>~5,882 pGOLD</w:t>
            </w:r>
          </w:p>
        </w:tc>
        <w:tc>
          <w:tcPr>
            <w:tcW w:type="dxa" w:w="2268"/>
          </w:tcPr>
          <w:p>
            <w:pPr>
              <w:jc w:val="right"/>
            </w:pPr>
            <w:r/>
            <w:r>
              <w:rPr>
                <w:rFonts w:ascii="Times New Roman" w:hAnsi="Times New Roman"/>
                <w:color w:val="2D2D2D"/>
                <w:sz w:val="18"/>
                <w:rFonts w:eastAsia="SimSun"/>
              </w:rPr>
              <w:t>$500,000</w:t>
            </w:r>
          </w:p>
        </w:tc>
        <w:tc>
          <w:tcPr>
            <w:tcW w:type="dxa" w:w="2551"/>
          </w:tcPr>
          <w:p>
            <w:pPr>
              <w:jc w:val="right"/>
            </w:pPr>
            <w:r/>
            <w:r>
              <w:rPr>
                <w:rFonts w:ascii="Times New Roman" w:hAnsi="Times New Roman"/>
                <w:color w:val="2D2D2D"/>
                <w:sz w:val="18"/>
                <w:rFonts w:eastAsia="SimSun"/>
              </w:rPr>
              <w:t>$2,500,000</w:t>
            </w:r>
          </w:p>
        </w:tc>
      </w:tr>
      <w:tr>
        <w:tc>
          <w:tcPr>
            <w:tcW w:type="dxa" w:w="2268"/>
            <w:shd w:fill="F8F6F0" w:val="clear"/>
          </w:tcPr>
          <w:p>
            <w:r/>
            <w:r>
              <w:rPr>
                <w:rFonts w:ascii="Times New Roman" w:hAnsi="Times New Roman"/>
                <w:color w:val="2D2D2D"/>
                <w:sz w:val="18"/>
                <w:rFonts w:eastAsia="SimSun"/>
              </w:rPr>
              <w:t>Top 11–50 (Core)</w:t>
            </w:r>
          </w:p>
        </w:tc>
        <w:tc>
          <w:tcPr>
            <w:tcW w:type="dxa" w:w="2268"/>
            <w:shd w:fill="F8F6F0" w:val="clear"/>
          </w:tcPr>
          <w:p>
            <w:pPr>
              <w:jc w:val="right"/>
            </w:pPr>
            <w:r/>
            <w:r>
              <w:rPr>
                <w:rFonts w:ascii="Times New Roman" w:hAnsi="Times New Roman"/>
                <w:color w:val="2D2D2D"/>
                <w:sz w:val="18"/>
                <w:rFonts w:eastAsia="SimSun"/>
              </w:rPr>
              <w:t>~1,176 pGOLD</w:t>
            </w:r>
          </w:p>
        </w:tc>
        <w:tc>
          <w:tcPr>
            <w:tcW w:type="dxa" w:w="2268"/>
            <w:shd w:fill="F8F6F0" w:val="clear"/>
          </w:tcPr>
          <w:p>
            <w:pPr>
              <w:jc w:val="right"/>
            </w:pPr>
            <w:r/>
            <w:r>
              <w:rPr>
                <w:rFonts w:ascii="Times New Roman" w:hAnsi="Times New Roman"/>
                <w:color w:val="2D2D2D"/>
                <w:sz w:val="18"/>
                <w:rFonts w:eastAsia="SimSun"/>
              </w:rPr>
              <w:t>$100,000</w:t>
            </w:r>
          </w:p>
        </w:tc>
        <w:tc>
          <w:tcPr>
            <w:tcW w:type="dxa" w:w="2551"/>
            <w:shd w:fill="F8F6F0" w:val="clear"/>
          </w:tcPr>
          <w:p>
            <w:pPr>
              <w:jc w:val="right"/>
            </w:pPr>
            <w:r/>
            <w:r>
              <w:rPr>
                <w:rFonts w:ascii="Times New Roman" w:hAnsi="Times New Roman"/>
                <w:color w:val="2D2D2D"/>
                <w:sz w:val="18"/>
                <w:rFonts w:eastAsia="SimSun"/>
              </w:rPr>
              <w:t>$500,000</w:t>
            </w:r>
          </w:p>
        </w:tc>
      </w:tr>
      <w:tr>
        <w:tc>
          <w:tcPr>
            <w:tcW w:type="dxa" w:w="2268"/>
          </w:tcPr>
          <w:p>
            <w:r/>
            <w:r>
              <w:rPr>
                <w:rFonts w:ascii="Times New Roman" w:hAnsi="Times New Roman"/>
                <w:color w:val="2D2D2D"/>
                <w:sz w:val="18"/>
                <w:rFonts w:eastAsia="SimSun"/>
              </w:rPr>
              <w:t>Top 51–100 (Rising)</w:t>
            </w:r>
          </w:p>
        </w:tc>
        <w:tc>
          <w:tcPr>
            <w:tcW w:type="dxa" w:w="2268"/>
          </w:tcPr>
          <w:p>
            <w:pPr>
              <w:jc w:val="right"/>
            </w:pPr>
            <w:r/>
            <w:r>
              <w:rPr>
                <w:rFonts w:ascii="Times New Roman" w:hAnsi="Times New Roman"/>
                <w:color w:val="2D2D2D"/>
                <w:sz w:val="18"/>
                <w:rFonts w:eastAsia="SimSun"/>
              </w:rPr>
              <w:t>~353 pGOLD</w:t>
            </w:r>
          </w:p>
        </w:tc>
        <w:tc>
          <w:tcPr>
            <w:tcW w:type="dxa" w:w="2268"/>
          </w:tcPr>
          <w:p>
            <w:pPr>
              <w:jc w:val="right"/>
            </w:pPr>
            <w:r/>
            <w:r>
              <w:rPr>
                <w:rFonts w:ascii="Times New Roman" w:hAnsi="Times New Roman"/>
                <w:color w:val="2D2D2D"/>
                <w:sz w:val="18"/>
                <w:rFonts w:eastAsia="SimSun"/>
              </w:rPr>
              <w:t>$30,000</w:t>
            </w:r>
          </w:p>
        </w:tc>
        <w:tc>
          <w:tcPr>
            <w:tcW w:type="dxa" w:w="2551"/>
          </w:tcPr>
          <w:p>
            <w:pPr>
              <w:jc w:val="right"/>
            </w:pPr>
            <w:r/>
            <w:r>
              <w:rPr>
                <w:rFonts w:ascii="Times New Roman" w:hAnsi="Times New Roman"/>
                <w:color w:val="2D2D2D"/>
                <w:sz w:val="18"/>
                <w:rFonts w:eastAsia="SimSun"/>
              </w:rPr>
              <w:t>$150,000</w:t>
            </w:r>
          </w:p>
        </w:tc>
      </w:tr>
    </w:tbl>
    <w:p>
      <w:pPr>
        <w:pStyle w:val="Heading4"/>
      </w:pPr>
      <w:r>
        <w:t>Simulation: A Whale User's Year</w:t>
      </w:r>
    </w:p>
    <w:tbl>
      <w:tblPr>
        <w:tblStyle w:val="TableGrid"/>
        <w:tblW w:type="auto" w:w="0"/>
        <w:jc w:val="center"/>
        <w:tblLook w:firstColumn="1" w:firstRow="1" w:lastColumn="0" w:lastRow="0" w:noHBand="0" w:noVBand="1" w:val="04A0"/>
      </w:tblPr>
      <w:tblGrid>
        <w:gridCol w:w="4513"/>
        <w:gridCol w:w="4513"/>
      </w:tblGrid>
      <w:tr>
        <w:tc>
          <w:tcPr>
            <w:tcW w:type="dxa" w:w="2835"/>
            <w:shd w:fill="2C2C3A" w:val="clear"/>
          </w:tcPr>
          <w:p>
            <w:pPr>
              <w:jc w:val="center"/>
            </w:pPr>
            <w:r/>
            <w:r>
              <w:rPr>
                <w:rFonts w:ascii="Times New Roman" w:hAnsi="Times New Roman"/>
                <w:b/>
                <w:color w:val="FFFFFF"/>
                <w:sz w:val="18"/>
                <w:rFonts w:eastAsia="SimHei"/>
              </w:rPr>
              <w:t>Parameter</w:t>
            </w:r>
          </w:p>
        </w:tc>
        <w:tc>
          <w:tcPr>
            <w:tcW w:type="dxa" w:w="6520"/>
            <w:shd w:fill="2C2C3A" w:val="clear"/>
          </w:tcPr>
          <w:p>
            <w:pPr>
              <w:jc w:val="center"/>
            </w:pPr>
            <w:r/>
            <w:r>
              <w:rPr>
                <w:rFonts w:ascii="Times New Roman" w:hAnsi="Times New Roman"/>
                <w:b/>
                <w:color w:val="FFFFFF"/>
                <w:sz w:val="18"/>
                <w:rFonts w:eastAsia="SimHei"/>
              </w:rPr>
              <w:t>Value</w:t>
            </w:r>
          </w:p>
        </w:tc>
      </w:tr>
      <w:tr>
        <w:tc>
          <w:tcPr>
            <w:tcW w:type="dxa" w:w="2835"/>
          </w:tcPr>
          <w:p>
            <w:r/>
            <w:r>
              <w:rPr>
                <w:rFonts w:ascii="Times New Roman" w:hAnsi="Times New Roman"/>
                <w:color w:val="2D2D2D"/>
                <w:sz w:val="18"/>
                <w:rFonts w:eastAsia="SimSun"/>
              </w:rPr>
              <w:t>Deposit</w:t>
            </w:r>
          </w:p>
        </w:tc>
        <w:tc>
          <w:tcPr>
            <w:tcW w:type="dxa" w:w="6520"/>
          </w:tcPr>
          <w:p>
            <w:pPr>
              <w:jc w:val="right"/>
            </w:pPr>
            <w:r/>
            <w:r>
              <w:rPr>
                <w:rFonts w:ascii="Times New Roman" w:hAnsi="Times New Roman"/>
                <w:color w:val="2D2D2D"/>
                <w:sz w:val="18"/>
                <w:rFonts w:eastAsia="SimSun"/>
              </w:rPr>
              <w:t>10,000 pGOLD (~$850,000)</w:t>
            </w:r>
          </w:p>
        </w:tc>
      </w:tr>
      <w:tr>
        <w:tc>
          <w:tcPr>
            <w:tcW w:type="dxa" w:w="2835"/>
            <w:shd w:fill="F8F6F0" w:val="clear"/>
          </w:tcPr>
          <w:p>
            <w:r/>
            <w:r>
              <w:rPr>
                <w:rFonts w:ascii="Times New Roman" w:hAnsi="Times New Roman"/>
                <w:color w:val="2D2D2D"/>
                <w:sz w:val="18"/>
                <w:rFonts w:eastAsia="SimSun"/>
              </w:rPr>
              <w:t>Annual Trading Volume</w:t>
            </w:r>
          </w:p>
        </w:tc>
        <w:tc>
          <w:tcPr>
            <w:tcW w:type="dxa" w:w="6520"/>
            <w:shd w:fill="F8F6F0" w:val="clear"/>
          </w:tcPr>
          <w:p>
            <w:pPr>
              <w:jc w:val="right"/>
            </w:pPr>
            <w:r/>
            <w:r>
              <w:rPr>
                <w:rFonts w:ascii="Times New Roman" w:hAnsi="Times New Roman"/>
                <w:color w:val="2D2D2D"/>
                <w:sz w:val="18"/>
                <w:rFonts w:eastAsia="SimSun"/>
              </w:rPr>
              <w:t>$500M+ (qualifies for Annual Top 100)</w:t>
            </w:r>
          </w:p>
        </w:tc>
      </w:tr>
      <w:tr>
        <w:tc>
          <w:tcPr>
            <w:tcW w:type="dxa" w:w="2835"/>
          </w:tcPr>
          <w:p>
            <w:r/>
            <w:r>
              <w:rPr>
                <w:rFonts w:ascii="Times New Roman" w:hAnsi="Times New Roman"/>
                <w:color w:val="2D2D2D"/>
                <w:sz w:val="18"/>
                <w:rFonts w:eastAsia="SimSun"/>
              </w:rPr>
              <w:t>Annual Fee Paid</w:t>
            </w:r>
          </w:p>
        </w:tc>
        <w:tc>
          <w:tcPr>
            <w:tcW w:type="dxa" w:w="6520"/>
          </w:tcPr>
          <w:p>
            <w:pPr>
              <w:jc w:val="right"/>
            </w:pPr>
            <w:r/>
            <w:r>
              <w:rPr>
                <w:rFonts w:ascii="Times New Roman" w:hAnsi="Times New Roman"/>
                <w:color w:val="2D2D2D"/>
                <w:sz w:val="18"/>
                <w:rFonts w:eastAsia="SimSun"/>
              </w:rPr>
              <w:t>$180,000 (0.5% × $36M monthly volume)</w:t>
            </w:r>
          </w:p>
        </w:tc>
      </w:tr>
      <w:tr>
        <w:tc>
          <w:tcPr>
            <w:tcW w:type="dxa" w:w="2835"/>
            <w:shd w:fill="F8F6F0" w:val="clear"/>
          </w:tcPr>
          <w:p>
            <w:r/>
            <w:r>
              <w:rPr>
                <w:rFonts w:ascii="Times New Roman" w:hAnsi="Times New Roman"/>
                <w:color w:val="2D2D2D"/>
                <w:sz w:val="18"/>
                <w:rFonts w:eastAsia="SimSun"/>
              </w:rPr>
              <w:t>Annual Reward (after independent stacking)</w:t>
            </w:r>
          </w:p>
        </w:tc>
        <w:tc>
          <w:tcPr>
            <w:tcW w:type="dxa" w:w="6520"/>
            <w:shd w:fill="F8F6F0" w:val="clear"/>
          </w:tcPr>
          <w:p>
            <w:pPr>
              <w:jc w:val="right"/>
            </w:pPr>
            <w:r/>
            <w:r>
              <w:rPr>
                <w:rFonts w:ascii="Times New Roman" w:hAnsi="Times New Roman"/>
                <w:color w:val="2D2D2D"/>
                <w:sz w:val="18"/>
                <w:rFonts w:eastAsia="SimSun"/>
              </w:rPr>
              <w:t>10,000 × 1000% = 50,000 pGOLD</w:t>
            </w:r>
          </w:p>
        </w:tc>
      </w:tr>
      <w:tr>
        <w:tc>
          <w:tcPr>
            <w:tcW w:type="dxa" w:w="2835"/>
          </w:tcPr>
          <w:p>
            <w:r/>
            <w:r>
              <w:rPr>
                <w:rFonts w:ascii="Times New Roman" w:hAnsi="Times New Roman"/>
                <w:color w:val="2D2D2D"/>
                <w:sz w:val="18"/>
                <w:rFonts w:eastAsia="SimSun"/>
              </w:rPr>
              <w:t>Vesting</w:t>
            </w:r>
          </w:p>
        </w:tc>
        <w:tc>
          <w:tcPr>
            <w:tcW w:type="dxa" w:w="6520"/>
          </w:tcPr>
          <w:p>
            <w:pPr>
              <w:jc w:val="right"/>
            </w:pPr>
            <w:r/>
            <w:r>
              <w:rPr>
                <w:rFonts w:ascii="Times New Roman" w:hAnsi="Times New Roman"/>
                <w:color w:val="2D2D2D"/>
                <w:sz w:val="18"/>
                <w:rFonts w:eastAsia="SimSun"/>
              </w:rPr>
              <w:t>10-year linear; daily unlock ~13.7 pGOLD (~$1,164/day)</w:t>
            </w:r>
          </w:p>
        </w:tc>
      </w:tr>
      <w:tr>
        <w:tc>
          <w:tcPr>
            <w:tcW w:type="dxa" w:w="2835"/>
            <w:shd w:fill="F8F6F0" w:val="clear"/>
          </w:tcPr>
          <w:p>
            <w:r/>
            <w:r>
              <w:rPr>
                <w:rFonts w:ascii="Times New Roman" w:hAnsi="Times New Roman"/>
                <w:color w:val="2D2D2D"/>
                <w:sz w:val="18"/>
                <w:rFonts w:eastAsia="SimSun"/>
              </w:rPr>
              <w:t>7-Year Total Unlock</w:t>
            </w:r>
          </w:p>
        </w:tc>
        <w:tc>
          <w:tcPr>
            <w:tcW w:type="dxa" w:w="6520"/>
            <w:shd w:fill="F8F6F0" w:val="clear"/>
          </w:tcPr>
          <w:p>
            <w:pPr>
              <w:jc w:val="right"/>
            </w:pPr>
            <w:r/>
            <w:r>
              <w:rPr>
                <w:rFonts w:ascii="Times New Roman" w:hAnsi="Times New Roman"/>
                <w:color w:val="2D2D2D"/>
                <w:sz w:val="18"/>
                <w:rFonts w:eastAsia="SimSun"/>
              </w:rPr>
              <w:t>50,000 pGOLD (~$4.25M equivalent)</w:t>
            </w:r>
          </w:p>
        </w:tc>
      </w:tr>
      <w:tr>
        <w:tc>
          <w:tcPr>
            <w:tcW w:type="dxa" w:w="2835"/>
          </w:tcPr>
          <w:p>
            <w:r/>
            <w:r>
              <w:rPr>
                <w:rFonts w:ascii="Times New Roman" w:hAnsi="Times New Roman"/>
                <w:color w:val="2D2D2D"/>
                <w:sz w:val="18"/>
                <w:rFonts w:eastAsia="SimSun"/>
              </w:rPr>
              <w:t>Fee-to-Reward Ratio</w:t>
            </w:r>
          </w:p>
        </w:tc>
        <w:tc>
          <w:tcPr>
            <w:tcW w:type="dxa" w:w="6520"/>
          </w:tcPr>
          <w:p>
            <w:pPr>
              <w:jc w:val="right"/>
            </w:pPr>
            <w:r/>
            <w:r>
              <w:rPr>
                <w:rFonts w:ascii="Times New Roman" w:hAnsi="Times New Roman"/>
                <w:color w:val="2D2D2D"/>
                <w:sz w:val="18"/>
                <w:rFonts w:eastAsia="SimSun"/>
              </w:rPr>
              <w:t>4.2% — fees cover only 4.2% of reward</w:t>
            </w:r>
          </w:p>
        </w:tc>
      </w:tr>
    </w:tbl>
    <w:p>
      <w:pPr>
        <w:pStyle w:val="Heading2"/>
      </w:pPr>
      <w:r>
        <w:t>3.3  Track C: Burn Mining (Belief Track · No Staking Required)</w:t>
      </w:r>
    </w:p>
    <w:p>
      <w:pPr>
        <w:spacing w:line="360" w:lineRule="auto"/>
      </w:pPr>
      <w:r>
        <w:rPr>
          <w:rFonts w:ascii="Times New Roman" w:hAnsi="Times New Roman"/>
          <w:sz w:val="22"/>
          <w:rFonts w:eastAsia="SimSun"/>
        </w:rPr>
        <w:t xml:space="preserve">Burn Mining is an independent </w:t>
      </w:r>
      <w:r>
        <w:rPr>
          <w:rFonts w:ascii="Times New Roman" w:hAnsi="Times New Roman"/>
          <w:b/>
          <w:color w:val="9A7B2A"/>
          <w:sz w:val="22"/>
          <w:rFonts w:eastAsia="SimHei"/>
        </w:rPr>
        <w:t>parallel</w:t>
      </w:r>
      <w:r>
        <w:rPr>
          <w:rFonts w:ascii="Times New Roman" w:hAnsi="Times New Roman"/>
          <w:sz w:val="22"/>
          <w:rFonts w:eastAsia="SimSun"/>
        </w:rPr>
        <w:t xml:space="preserve"> track alongside Top 100. Whenever a trader burns trading fees, compensation is triggered regardless of leaderboard ranking. Burn rewards and Top 100 rewards are ADDITIVE — a user who both ranks and burns collects both. The only distinction: Burn requires NO staking; Top 100 REQUIRES staking (deposit anchor).</w:t>
      </w:r>
    </w:p>
    <w:p>
      <w:pPr>
        <w:spacing w:line="360" w:lineRule="auto"/>
      </w:pPr>
      <w:r>
        <w:rPr>
          <w:rFonts w:ascii="Times New Roman" w:hAnsi="Times New Roman"/>
          <w:sz w:val="22"/>
          <w:rFonts w:eastAsia="SimSun"/>
        </w:rPr>
        <w:t xml:space="preserve">Retail traders are the backbone of fee revenue — they trade consistently, burn fees year after year, and become the protocol's most faithful believers. Whenever they incur losses, the protocol compensates: Compensation = Actual Loss × </w:t>
      </w:r>
      <w:r>
        <w:rPr>
          <w:rFonts w:ascii="Times New Roman" w:hAnsi="Times New Roman"/>
          <w:b/>
          <w:color w:val="9A7B2A"/>
          <w:sz w:val="22"/>
          <w:rFonts w:eastAsia="SimHei"/>
        </w:rPr>
        <w:t>1000%</w:t>
      </w:r>
      <w:r>
        <w:rPr>
          <w:rFonts w:ascii="Times New Roman" w:hAnsi="Times New Roman"/>
          <w:sz w:val="22"/>
          <w:rFonts w:eastAsia="SimSun"/>
        </w:rPr>
        <w:t xml:space="preserve">, locked for </w:t>
      </w:r>
      <w:r>
        <w:rPr>
          <w:rFonts w:ascii="Times New Roman" w:hAnsi="Times New Roman"/>
          <w:b/>
          <w:color w:val="9A7B2A"/>
          <w:sz w:val="22"/>
          <w:rFonts w:eastAsia="SimHei"/>
        </w:rPr>
        <w:t>10 years</w:t>
      </w:r>
      <w:r>
        <w:rPr>
          <w:rFonts w:ascii="Times New Roman" w:hAnsi="Times New Roman"/>
          <w:sz w:val="22"/>
          <w:rFonts w:eastAsia="SimSun"/>
        </w:rPr>
        <w:t xml:space="preserve"> with linear vesting. Year 1 unlock = 100% of the original loss — full principal recovery.</w:t>
      </w:r>
    </w:p>
    <w:p>
      <w:pPr>
        <w:spacing w:before="160" w:after="160"/>
        <w:ind w:left="283"/>
        <w:shd w:fill="F2F7E8" w:val="clear"/>
        <w:pBdr>
          <w:left w:val="single" w:sz="12" w:space="8" w:color="4ECB71"/>
        </w:pBdr>
      </w:pPr>
      <w:r>
        <w:rPr>
          <w:rFonts w:ascii="Times New Roman" w:hAnsi="Times New Roman"/>
          <w:color w:val="444444"/>
          <w:sz w:val="20"/>
          <w:rFonts w:eastAsia="SimSun"/>
        </w:rPr>
        <w:t>Why 1000%? Burn miners are the belief bedrock of the protocol — they are not one-time traders but year-after-year fee contributors who become the protocol's best evangelists. 100% covers principal loss; the additional 900% is a forward return for their sustained contribution. The 10-year linear vesting smooths unlocks — Year 1 recovers 100% of losses; the subsequent 9 years are pure profit. They deserve to earn their rightful returns, and will become the protocol's best promoters.</w:t>
      </w:r>
    </w:p>
    <w:p>
      <w:pPr>
        <w:pStyle w:val="Heading4"/>
      </w:pPr>
      <w:r>
        <w:t>Retail Simulation: A Believer's Annual Ledger</w:t>
      </w:r>
    </w:p>
    <w:tbl>
      <w:tblPr>
        <w:tblStyle w:val="TableGrid"/>
        <w:tblW w:type="auto" w:w="0"/>
        <w:jc w:val="center"/>
        <w:tblLook w:firstColumn="1" w:firstRow="1" w:lastColumn="0" w:lastRow="0" w:noHBand="0" w:noVBand="1" w:val="04A0"/>
      </w:tblPr>
      <w:tblGrid>
        <w:gridCol w:w="4513"/>
        <w:gridCol w:w="4513"/>
      </w:tblGrid>
      <w:tr>
        <w:tc>
          <w:tcPr>
            <w:tcW w:type="dxa" w:w="3685"/>
            <w:shd w:fill="2C2C3A" w:val="clear"/>
          </w:tcPr>
          <w:p>
            <w:pPr>
              <w:jc w:val="center"/>
            </w:pPr>
            <w:r/>
            <w:r>
              <w:rPr>
                <w:rFonts w:ascii="Times New Roman" w:hAnsi="Times New Roman"/>
                <w:b/>
                <w:color w:val="FFFFFF"/>
                <w:sz w:val="18"/>
                <w:rFonts w:eastAsia="SimHei"/>
              </w:rPr>
              <w:t>Parameter</w:t>
            </w:r>
          </w:p>
        </w:tc>
        <w:tc>
          <w:tcPr>
            <w:tcW w:type="dxa" w:w="5669"/>
            <w:shd w:fill="2C2C3A" w:val="clear"/>
          </w:tcPr>
          <w:p>
            <w:pPr>
              <w:jc w:val="center"/>
            </w:pPr>
            <w:r/>
            <w:r>
              <w:rPr>
                <w:rFonts w:ascii="Times New Roman" w:hAnsi="Times New Roman"/>
                <w:b/>
                <w:color w:val="FFFFFF"/>
                <w:sz w:val="18"/>
                <w:rFonts w:eastAsia="SimHei"/>
              </w:rPr>
              <w:t>Value</w:t>
            </w:r>
          </w:p>
        </w:tc>
      </w:tr>
      <w:tr>
        <w:tc>
          <w:tcPr>
            <w:tcW w:type="dxa" w:w="3685"/>
          </w:tcPr>
          <w:p>
            <w:r/>
            <w:r>
              <w:rPr>
                <w:rFonts w:ascii="Times New Roman" w:hAnsi="Times New Roman"/>
                <w:color w:val="2D2D2D"/>
                <w:sz w:val="18"/>
                <w:rFonts w:eastAsia="SimSun"/>
              </w:rPr>
              <w:t>Deposit</w:t>
            </w:r>
          </w:p>
        </w:tc>
        <w:tc>
          <w:tcPr>
            <w:tcW w:type="dxa" w:w="5669"/>
          </w:tcPr>
          <w:p>
            <w:pPr>
              <w:jc w:val="right"/>
            </w:pPr>
            <w:r/>
            <w:r>
              <w:rPr>
                <w:rFonts w:ascii="Times New Roman" w:hAnsi="Times New Roman"/>
                <w:color w:val="2D2D2D"/>
                <w:sz w:val="18"/>
                <w:rFonts w:eastAsia="SimSun"/>
              </w:rPr>
              <w:t>117 pGOLD (~$10,000)</w:t>
            </w:r>
          </w:p>
        </w:tc>
      </w:tr>
      <w:tr>
        <w:tc>
          <w:tcPr>
            <w:tcW w:type="dxa" w:w="3685"/>
            <w:shd w:fill="F8F6F0" w:val="clear"/>
          </w:tcPr>
          <w:p>
            <w:r/>
            <w:r>
              <w:rPr>
                <w:rFonts w:ascii="Times New Roman" w:hAnsi="Times New Roman"/>
                <w:color w:val="2D2D2D"/>
                <w:sz w:val="18"/>
                <w:rFonts w:eastAsia="SimSun"/>
              </w:rPr>
              <w:t>Annual Trading Volume</w:t>
            </w:r>
          </w:p>
        </w:tc>
        <w:tc>
          <w:tcPr>
            <w:tcW w:type="dxa" w:w="5669"/>
            <w:shd w:fill="F8F6F0" w:val="clear"/>
          </w:tcPr>
          <w:p>
            <w:pPr>
              <w:jc w:val="right"/>
            </w:pPr>
            <w:r/>
            <w:r>
              <w:rPr>
                <w:rFonts w:ascii="Times New Roman" w:hAnsi="Times New Roman"/>
                <w:color w:val="2D2D2D"/>
                <w:sz w:val="18"/>
                <w:rFonts w:eastAsia="SimSun"/>
              </w:rPr>
              <w:t>$600,000</w:t>
            </w:r>
          </w:p>
        </w:tc>
      </w:tr>
      <w:tr>
        <w:tc>
          <w:tcPr>
            <w:tcW w:type="dxa" w:w="3685"/>
          </w:tcPr>
          <w:p>
            <w:r/>
            <w:r>
              <w:rPr>
                <w:rFonts w:ascii="Times New Roman" w:hAnsi="Times New Roman"/>
                <w:color w:val="2D2D2D"/>
                <w:sz w:val="18"/>
                <w:rFonts w:eastAsia="SimSun"/>
              </w:rPr>
              <w:t>Annual Fees</w:t>
            </w:r>
          </w:p>
        </w:tc>
        <w:tc>
          <w:tcPr>
            <w:tcW w:type="dxa" w:w="5669"/>
          </w:tcPr>
          <w:p>
            <w:pPr>
              <w:jc w:val="right"/>
            </w:pPr>
            <w:r/>
            <w:r>
              <w:rPr>
                <w:rFonts w:ascii="Times New Roman" w:hAnsi="Times New Roman"/>
                <w:color w:val="2D2D2D"/>
                <w:sz w:val="18"/>
                <w:rFonts w:eastAsia="SimSun"/>
              </w:rPr>
              <w:t>$3,000 (0.5%)</w:t>
            </w:r>
          </w:p>
        </w:tc>
      </w:tr>
      <w:tr>
        <w:tc>
          <w:tcPr>
            <w:tcW w:type="dxa" w:w="3685"/>
            <w:shd w:fill="F8F6F0" w:val="clear"/>
          </w:tcPr>
          <w:p>
            <w:r/>
            <w:r>
              <w:rPr>
                <w:rFonts w:ascii="Times New Roman" w:hAnsi="Times New Roman"/>
                <w:color w:val="2D2D2D"/>
                <w:sz w:val="18"/>
                <w:rFonts w:eastAsia="SimSun"/>
              </w:rPr>
              <w:t>Trading Loss (assuming 10% loss rate)</w:t>
            </w:r>
          </w:p>
        </w:tc>
        <w:tc>
          <w:tcPr>
            <w:tcW w:type="dxa" w:w="5669"/>
            <w:shd w:fill="F8F6F0" w:val="clear"/>
          </w:tcPr>
          <w:p>
            <w:pPr>
              <w:jc w:val="right"/>
            </w:pPr>
            <w:r/>
            <w:r>
              <w:rPr>
                <w:rFonts w:ascii="Times New Roman" w:hAnsi="Times New Roman"/>
                <w:color w:val="2D2D2D"/>
                <w:sz w:val="18"/>
                <w:rFonts w:eastAsia="SimSun"/>
              </w:rPr>
              <w:t>$60,000</w:t>
            </w:r>
          </w:p>
        </w:tc>
      </w:tr>
      <w:tr>
        <w:tc>
          <w:tcPr>
            <w:tcW w:type="dxa" w:w="3685"/>
          </w:tcPr>
          <w:p>
            <w:r/>
            <w:r>
              <w:rPr>
                <w:rFonts w:ascii="Times New Roman" w:hAnsi="Times New Roman"/>
                <w:color w:val="2D2D2D"/>
                <w:sz w:val="18"/>
                <w:rFonts w:eastAsia="SimSun"/>
              </w:rPr>
              <w:t>Burn Compensation (1000% × Loss)</w:t>
            </w:r>
          </w:p>
        </w:tc>
        <w:tc>
          <w:tcPr>
            <w:tcW w:type="dxa" w:w="5669"/>
          </w:tcPr>
          <w:p>
            <w:pPr>
              <w:jc w:val="right"/>
            </w:pPr>
            <w:r/>
            <w:r>
              <w:rPr>
                <w:rFonts w:ascii="Times New Roman" w:hAnsi="Times New Roman"/>
                <w:color w:val="2D2D2D"/>
                <w:sz w:val="18"/>
                <w:rFonts w:eastAsia="SimSun"/>
              </w:rPr>
              <w:t>$600,000 (~7,059 pGOLD)</w:t>
            </w:r>
          </w:p>
        </w:tc>
      </w:tr>
      <w:tr>
        <w:tc>
          <w:tcPr>
            <w:tcW w:type="dxa" w:w="3685"/>
            <w:shd w:fill="F8F6F0" w:val="clear"/>
          </w:tcPr>
          <w:p>
            <w:r/>
            <w:r>
              <w:rPr>
                <w:rFonts w:ascii="Times New Roman" w:hAnsi="Times New Roman"/>
                <w:color w:val="2D2D2D"/>
                <w:sz w:val="18"/>
                <w:rFonts w:eastAsia="SimSun"/>
              </w:rPr>
              <w:t>Year 1 Unlock (10-year linear)</w:t>
            </w:r>
          </w:p>
        </w:tc>
        <w:tc>
          <w:tcPr>
            <w:tcW w:type="dxa" w:w="5669"/>
            <w:shd w:fill="F8F6F0" w:val="clear"/>
          </w:tcPr>
          <w:p>
            <w:pPr>
              <w:jc w:val="right"/>
            </w:pPr>
            <w:r/>
            <w:r>
              <w:rPr>
                <w:rFonts w:ascii="Times New Roman" w:hAnsi="Times New Roman"/>
                <w:color w:val="2D2D2D"/>
                <w:sz w:val="18"/>
                <w:rFonts w:eastAsia="SimSun"/>
              </w:rPr>
              <w:t>$60,000 (~706 pGOLD)</w:t>
            </w:r>
          </w:p>
        </w:tc>
      </w:tr>
      <w:tr>
        <w:tc>
          <w:tcPr>
            <w:tcW w:type="dxa" w:w="3685"/>
          </w:tcPr>
          <w:p>
            <w:r/>
            <w:r>
              <w:rPr>
                <w:rFonts w:ascii="Times New Roman" w:hAnsi="Times New Roman"/>
                <w:color w:val="2D2D2D"/>
                <w:sz w:val="18"/>
                <w:rFonts w:eastAsia="SimSun"/>
              </w:rPr>
              <w:t>Daily Unlock</w:t>
            </w:r>
          </w:p>
        </w:tc>
        <w:tc>
          <w:tcPr>
            <w:tcW w:type="dxa" w:w="5669"/>
          </w:tcPr>
          <w:p>
            <w:pPr>
              <w:jc w:val="right"/>
            </w:pPr>
            <w:r/>
            <w:r>
              <w:rPr>
                <w:rFonts w:ascii="Times New Roman" w:hAnsi="Times New Roman"/>
                <w:color w:val="2D2D2D"/>
                <w:sz w:val="18"/>
                <w:rFonts w:eastAsia="SimSun"/>
              </w:rPr>
              <w:t>~1.93 pGOLD/day (~$164/day)</w:t>
            </w:r>
          </w:p>
        </w:tc>
      </w:tr>
    </w:tbl>
    <w:p>
      <w:pPr>
        <w:spacing w:line="360" w:lineRule="auto"/>
      </w:pPr>
      <w:r>
        <w:rPr>
          <w:rFonts w:ascii="Times New Roman" w:hAnsi="Times New Roman"/>
          <w:sz w:val="22"/>
          <w:rFonts w:eastAsia="SimSun"/>
        </w:rPr>
        <w:t>Year 1 unlock of $60,000 provides 100% coverage of the $60,000 loss — full principal recovery in Year 1 alone. The subsequent 9 years deliver $540,000 in pure profit. Users have extremely strong trading; Burn Mining runs parallel to Top 100 — rewards stack. The user who both burns and ranks collects from both tracks. They become the protocol's most loyal promoter.</w:t>
      </w:r>
    </w:p>
    <w:p>
      <w:pPr>
        <w:pStyle w:val="Heading2"/>
      </w:pPr>
      <w:r>
        <w:t>3.4  On Bots and Wash Trading</w:t>
      </w:r>
    </w:p>
    <w:p>
      <w:pPr>
        <w:spacing w:before="160" w:after="160"/>
        <w:ind w:left="283"/>
        <w:pBdr>
          <w:top w:val="single" w:sz="4" w:space="4" w:color="D4A853"/>
          <w:left w:val="single" w:sz="4" w:space="4" w:color="D4A853"/>
          <w:bottom w:val="single" w:sz="4" w:space="4" w:color="D4A853"/>
          <w:right w:val="single" w:sz="4" w:space="4" w:color="D4A853"/>
        </w:pBdr>
        <w:shd w:fill="FCF8F0" w:val="clear"/>
      </w:pPr>
      <w:r>
        <w:rPr>
          <w:rFonts w:ascii="Times New Roman" w:hAnsi="Times New Roman"/>
          <w:color w:val="444444"/>
          <w:sz w:val="20"/>
          <w:rFonts w:eastAsia="SimSun"/>
        </w:rPr>
        <w:t>Our position: Bots are not enemies — they are paying customers. On-chain trading incurs gas fees, slippage, and block confirmation delays. Every bot trade pays 0.5% in fees, while rewards are pGOLD locked for 3–7 years. Paying spot cash for locked future tokens — bots are helping us cold-start the ecosystem.</w:t>
      </w:r>
    </w:p>
    <w:p>
      <w:r>
        <w:br w:type="page"/>
      </w:r>
    </w:p>
    <w:p>
      <w:pPr>
        <w:spacing w:after="0"/>
      </w:pPr>
      <w:r>
        <w:rPr>
          <w:rFonts w:ascii="Times New Roman" w:hAnsi="Times New Roman"/>
          <w:b/>
          <w:color w:val="D4A853"/>
          <w:sz w:val="22"/>
          <w:rFonts w:eastAsia="SimHei"/>
        </w:rPr>
        <w:t>CHAPTER IV</w:t>
      </w:r>
    </w:p>
    <w:p>
      <w:pPr/>
      <w:r>
        <w:t>Track E is fully independent, operating in parallel with Tracks A/B/C/D without conflict:/n• With A: ICO pGOLD can be directly staked for 3.5% APR</w:t>
        <w:br/>
        <w:t>• With B: Can trade to compete for Monthly/Quarterly/Annual ranking rewards</w:t>
        <w:br/>
        <w:t>• With C: Trading losses also enter burn compensation</w:t>
        <w:br/>
        <w:t>• With D: Can form squads for referral commission</w:t>
        <w:br/>
        <w:t>Track E philosophy: Thank you for coming earliest. After the Genesis window closes, latecomers compete equally in the existing four tracks.</w:t>
      </w:r>
    </w:p>
    <w:p>
      <w:pPr>
        <w:pStyle w:val="Heading3"/>
      </w:pPr>
      <w:r>
        <w:rPr>
          <w:b/>
          <w:sz w:val="24"/>
        </w:rPr>
        <w:t>♦ Relationship with Tracks A/B/C/D</w:t>
      </w:r>
    </w:p>
    <w:p>
      <w:pPr/>
      <w:r>
        <w:t>The 200,000 pGOLD Genesis Pool pre-mint creates a “backing gap” — this portion of tokens has no corresponding PAXG gold reserve yet. Fill strategy: 15% of trading fees are used to continuously buy gold reserves, gradually backing these 200,000 pGOLD. At 10M daily volume, 0.5% fee rate, 15% allocation: 7,500/day gold purchase, ~8 months to fully back 200,000 pGOLD. Well within the 3-year vesting cycle — the backing gap is completely filled before full vesting completes.</w:t>
      </w:r>
    </w:p>
    <w:p>
      <w:pPr>
        <w:pStyle w:val="Heading3"/>
      </w:pPr>
      <w:r>
        <w:rPr>
          <w:b/>
          <w:sz w:val="24"/>
        </w:rPr>
        <w:t>♦ Backing Gap Fill Mechanism</w:t>
      </w:r>
    </w:p>
    <w:p>
      <w:pPr/>
      <w:r>
        <w:t>D1 Pioneer depositing 85,000 (500-participant baseline scenario):</w:t>
        <w:br/>
        <w:t>• Gets backed 1,000 pGOLD (fully gold-covered)</w:t>
        <w:br/>
        <w:t>• Extra Genesis Pool allocation: ~2,400 pGOLD (3-year vesting)</w:t>
        <w:br/>
        <w:t>• Effective cost: 85,000 ÷ 3,400 = 25/pGOLD (70.6% discount)</w:t>
        <w:br/>
        <w:t>• If protocol dies: holds backed 1,000 pGOLD × 85 = 85,000, zero principal loss</w:t>
        <w:br/>
        <w:t>• If protocol matures: holds total 3,400 pGOLD × 85 = 289,000, 3.4x return</w:t>
        <w:br/>
        <w:t>Conclusion: ICO participants only win, never lose.</w:t>
      </w:r>
    </w:p>
    <w:p>
      <w:pPr>
        <w:pStyle w:val="Heading3"/>
      </w:pPr>
      <w:r>
        <w:rPr>
          <w:b/>
          <w:sz w:val="24"/>
        </w:rPr>
        <w:t>♦ ICO Participant P&amp;L Analysis</w:t>
      </w:r>
    </w:p>
    <w:p>
      <w:pPr/>
      <w:r>
        <w:t>Genesis Pool total: 200,000 pGOLD (pre-minted). After the 180-day ICO window closes, the system snapshots all scores. Individual allocation = 200,000 × (Individual Score ÷ Total Score). Allocation enters 3-year quarterly linear vesting (12 periods). Shorter than B/C track’s 10 years — Genesis Pool rewards “risk bearing” not “continuous operational contribution.”</w:t>
      </w:r>
    </w:p>
    <w:p>
      <w:pPr>
        <w:pStyle w:val="Heading3"/>
      </w:pPr>
      <w:r>
        <w:rPr>
          <w:b/>
          <w:sz w:val="24"/>
        </w:rPr>
        <w:t>♦ Pool Allocation &amp; Vesting</w:t>
      </w:r>
    </w:p>
    <w:p>
      <w:pPr/>
      <w:r>
        <w:t>4 tier weights, 4 FOMO windows:/nD1-30 (Pioneer) 10x — bears maximum uncertainty</w:t>
        <w:br/>
        <w:t>D31-60 (Early) 7x — saw it but hesitated</w:t>
        <w:br/>
        <w:t>D61-90 (Builder) 4x — ecosystem already spinning up</w:t>
        <w:br/>
        <w:t>D91-180 (Supporter) 2x — caught the last train</w:t>
        <w:br/>
        <w:t>Score = Deposit (pGOLD) × Tier Weight. Individual cap: 85,000 (1,000 pGOLD), prevents whale domination.</w:t>
      </w:r>
    </w:p>
    <w:p>
      <w:pPr>
        <w:pStyle w:val="Heading3"/>
      </w:pPr>
      <w:r>
        <w:rPr>
          <w:b/>
          <w:sz w:val="24"/>
        </w:rPr>
        <w:t>♦ Tier Weights &amp; FOMO Windows</w:t>
      </w:r>
    </w:p>
    <w:p>
      <w:pPr/>
      <w:r>
        <w:t>Participation flow: ① User deposits USDC → ② Protocol fully purchases PAXG gold, minting 1:1 backed pGOLD for the user → ③ Additional Genesis Pool allocation based on entry-time tier weights. Principal is already real gold — users bear no additional risk.</w:t>
      </w:r>
    </w:p>
    <w:p>
      <w:pPr>
        <w:pStyle w:val="Heading3"/>
      </w:pPr>
      <w:r>
        <w:rPr>
          <w:b/>
          <w:sz w:val="24"/>
        </w:rPr>
        <w:t>♦ ICO Mechanism</w:t>
      </w:r>
    </w:p>
    <w:p>
      <w:pPr/>
      <w:r>
        <w:t>The Genesis Pool is NOT a traditional ICO that sells tokens at a discount. The design logic: users buy gold at fair market price, and the protocol gives them an extra thank-you gift. Every cent of USDC is fully converted into PAXG physical gold, giving the user 1:1 fully gold-backed pGOLD. The 200,000 pGOLD Genesis Pool is the protocol’s additional gift to early believers.</w:t>
      </w:r>
    </w:p>
    <w:p>
      <w:pPr>
        <w:pStyle w:val="Heading3"/>
      </w:pPr>
      <w:r>
        <w:rPr>
          <w:b/>
          <w:sz w:val="24"/>
        </w:rPr>
        <w:t>♦ Core Design Principle</w:t>
      </w:r>
    </w:p>
    <w:p>
      <w:pPr/>
      <w:r>
        <w:t>Weight-based tiering should not enter any competitive track. Track E · Genesis Pool is an independent “Opening Fireworks” tool — thanking the protocol’s earliest believers for the risk they took. Existing Tracks A/B/C/D all assume the protocol is already running, but none rewards “bearing early uncertainty” itself. Track E · Genesis Pool fills precisely this gap.</w:t>
      </w:r>
    </w:p>
    <w:p>
      <w:pPr>
        <w:pStyle w:val="Heading2"/>
      </w:pPr>
      <w:r>
        <w:rPr>
          <w:b/>
          <w:sz w:val="28"/>
        </w:rPr>
        <w:t>3.5  Track E: Genesis Pool — ICO Thanking the Earliest Believers</w:t>
      </w:r>
    </w:p>
    <w:p>
      <w:pPr>
        <w:pStyle w:val="Heading1"/>
      </w:pPr>
      <w:r>
        <w:t>Token Economics: Supply, Inflation &amp; Steady State</w:t>
      </w:r>
    </w:p>
    <w:p>
      <w:pPr>
        <w:spacing w:line="360" w:lineRule="auto"/>
      </w:pPr>
      <w:r>
        <w:rPr>
          <w:rFonts w:ascii="Times New Roman" w:hAnsi="Times New Roman"/>
          <w:sz w:val="22"/>
          <w:rFonts w:eastAsia="SimSun"/>
        </w:rPr>
        <w:t xml:space="preserve">The most critical question: with all those rewards given out, will pGOLD become an infinitely inflating air token? The answer is </w:t>
      </w:r>
      <w:r>
        <w:rPr>
          <w:rFonts w:ascii="Times New Roman" w:hAnsi="Times New Roman"/>
          <w:b/>
          <w:color w:val="9A7B2A"/>
          <w:sz w:val="22"/>
          <w:rFonts w:eastAsia="SimHei"/>
        </w:rPr>
        <w:t>no</w:t>
      </w:r>
      <w:r>
        <w:rPr>
          <w:rFonts w:ascii="Times New Roman" w:hAnsi="Times New Roman"/>
          <w:sz w:val="22"/>
          <w:rFonts w:eastAsia="SimSun"/>
        </w:rPr>
        <w:t xml:space="preserve"> — because three mechanisms operate simultaneously: </w:t>
      </w:r>
      <w:r>
        <w:rPr>
          <w:rFonts w:ascii="Times New Roman" w:hAnsi="Times New Roman"/>
          <w:b/>
          <w:color w:val="9A7B2A"/>
          <w:sz w:val="22"/>
          <w:rFonts w:eastAsia="SimHei"/>
        </w:rPr>
        <w:t>10-year linear lockup</w:t>
      </w:r>
      <w:r>
        <w:rPr>
          <w:rFonts w:ascii="Times New Roman" w:hAnsi="Times New Roman"/>
          <w:sz w:val="22"/>
          <w:rFonts w:eastAsia="SimSun"/>
        </w:rPr>
        <w:t xml:space="preserve"> smooths supply, </w:t>
      </w:r>
      <w:r>
        <w:rPr>
          <w:rFonts w:ascii="Times New Roman" w:hAnsi="Times New Roman"/>
          <w:b/>
          <w:color w:val="9A7B2A"/>
          <w:sz w:val="22"/>
          <w:rFonts w:eastAsia="SimHei"/>
        </w:rPr>
        <w:t>0.5% fee</w:t>
      </w:r>
      <w:r>
        <w:rPr>
          <w:rFonts w:ascii="Times New Roman" w:hAnsi="Times New Roman"/>
          <w:sz w:val="22"/>
          <w:rFonts w:eastAsia="SimSun"/>
        </w:rPr>
        <w:t xml:space="preserve"> revenue continuously purchases gold, and physical gold reserves provide </w:t>
      </w:r>
      <w:r>
        <w:rPr>
          <w:rFonts w:ascii="Times New Roman" w:hAnsi="Times New Roman"/>
          <w:b/>
          <w:color w:val="9A7B2A"/>
          <w:sz w:val="22"/>
          <w:rFonts w:eastAsia="SimHei"/>
        </w:rPr>
        <w:t>full backing</w:t>
      </w:r>
      <w:r>
        <w:rPr>
          <w:rFonts w:ascii="Times New Roman" w:hAnsi="Times New Roman"/>
          <w:sz w:val="22"/>
          <w:rFonts w:eastAsia="SimSun"/>
        </w:rPr>
        <w:t>.</w:t>
      </w:r>
    </w:p>
    <w:p>
      <w:pPr>
        <w:pStyle w:val="Heading2"/>
      </w:pPr>
      <w:r>
        <w:t>4.1  Supply Expansion Curve (10-Year Projection)</w:t>
      </w:r>
    </w:p>
    <w:p>
      <w:pPr>
        <w:spacing w:line="360" w:lineRule="auto"/>
      </w:pPr>
      <w:r>
        <w:rPr>
          <w:rFonts w:ascii="Times New Roman" w:hAnsi="Times New Roman"/>
          <w:sz w:val="22"/>
          <w:rFonts w:eastAsia="SimSun"/>
        </w:rPr>
        <w:t xml:space="preserve">Under the baseline scenario of </w:t>
      </w:r>
      <w:r>
        <w:rPr>
          <w:rFonts w:ascii="Times New Roman" w:hAnsi="Times New Roman"/>
          <w:b/>
          <w:color w:val="9A7B2A"/>
          <w:sz w:val="22"/>
          <w:rFonts w:eastAsia="SimHei"/>
        </w:rPr>
        <w:t>10 tonnes</w:t>
      </w:r>
      <w:r>
        <w:rPr>
          <w:rFonts w:ascii="Times New Roman" w:hAnsi="Times New Roman"/>
          <w:sz w:val="22"/>
          <w:rFonts w:eastAsia="SimSun"/>
        </w:rPr>
        <w:t xml:space="preserve"> initial gold reserve, the circulating supply grows from 10 million pGOLD to approximately </w:t>
      </w:r>
      <w:r>
        <w:rPr>
          <w:rFonts w:ascii="Times New Roman" w:hAnsi="Times New Roman"/>
          <w:b/>
          <w:color w:val="9A7B2A"/>
          <w:sz w:val="22"/>
          <w:rFonts w:eastAsia="SimHei"/>
        </w:rPr>
        <w:t>12.5 million</w:t>
      </w:r>
      <w:r>
        <w:rPr>
          <w:rFonts w:ascii="Times New Roman" w:hAnsi="Times New Roman"/>
          <w:sz w:val="22"/>
          <w:rFonts w:eastAsia="SimSun"/>
        </w:rPr>
        <w:t xml:space="preserve"> pGOLD over 10 years — a cumulative increase of </w:t>
      </w:r>
      <w:r>
        <w:rPr>
          <w:rFonts w:ascii="Times New Roman" w:hAnsi="Times New Roman"/>
          <w:b/>
          <w:color w:val="9A7B2A"/>
          <w:sz w:val="22"/>
          <w:rFonts w:eastAsia="SimHei"/>
        </w:rPr>
        <w:t>~25%</w:t>
      </w:r>
      <w:r>
        <w:rPr>
          <w:rFonts w:ascii="Times New Roman" w:hAnsi="Times New Roman"/>
          <w:sz w:val="22"/>
          <w:rFonts w:eastAsia="SimSun"/>
        </w:rPr>
        <w:t>. Locked supply absorbs the majority of newly minted tokens during the first 7 years. The supply expansion is gradual, predictable, and bounded.</w:t>
      </w:r>
    </w:p>
    <w:p>
      <w:pPr>
        <w:spacing w:before="160" w:after="160"/>
        <w:ind w:left="283"/>
        <w:pBdr>
          <w:top w:val="single" w:sz="4" w:space="4" w:color="D4A853"/>
          <w:left w:val="single" w:sz="4" w:space="4" w:color="D4A853"/>
          <w:bottom w:val="single" w:sz="4" w:space="4" w:color="D4A853"/>
          <w:right w:val="single" w:sz="4" w:space="4" w:color="D4A853"/>
        </w:pBdr>
        <w:shd w:fill="FCF8F0" w:val="clear"/>
      </w:pPr>
      <w:r>
        <w:rPr>
          <w:rFonts w:ascii="Times New Roman" w:hAnsi="Times New Roman"/>
          <w:color w:val="444444"/>
          <w:sz w:val="20"/>
          <w:rFonts w:eastAsia="SimSun"/>
        </w:rPr>
        <w:t>Key Metrics (Baseline, 10t Initial): Initial circulating supply = 10.0M pGOLD; Year 10 circulating supply ≈ 12.5M pGOLD; 5-year cumulative growth ≈ 12%; 10-year cumulative growth ≈ 25%.</w:t>
      </w:r>
    </w:p>
    <w:p>
      <w:pPr>
        <w:pStyle w:val="Heading2"/>
      </w:pPr>
      <w:r>
        <w:t>4.2  Annual Inflation Comparison</w:t>
      </w:r>
    </w:p>
    <w:p>
      <w:pPr>
        <w:spacing w:line="360" w:lineRule="auto"/>
      </w:pPr>
      <w:r>
        <w:rPr>
          <w:rFonts w:ascii="Times New Roman" w:hAnsi="Times New Roman"/>
          <w:sz w:val="22"/>
          <w:rFonts w:eastAsia="SimSun"/>
        </w:rPr>
        <w:t>pGOLD's 10-year lockup design keeps the first 5 years of circulating growth extremely low. Annual inflation rates are comparable to physical gold mining rates (~</w:t>
      </w:r>
      <w:r>
        <w:rPr>
          <w:rFonts w:ascii="Times New Roman" w:hAnsi="Times New Roman"/>
          <w:b/>
          <w:color w:val="9A7B2A"/>
          <w:sz w:val="22"/>
          <w:rFonts w:eastAsia="SimHei"/>
        </w:rPr>
        <w:t>1.7%</w:t>
      </w:r>
      <w:r>
        <w:rPr>
          <w:rFonts w:ascii="Times New Roman" w:hAnsi="Times New Roman"/>
          <w:sz w:val="22"/>
          <w:rFonts w:eastAsia="SimSun"/>
        </w:rPr>
        <w:t>), significantly below USD M2 growth (</w:t>
      </w:r>
      <w:r>
        <w:rPr>
          <w:rFonts w:ascii="Times New Roman" w:hAnsi="Times New Roman"/>
          <w:b/>
          <w:color w:val="9A7B2A"/>
          <w:sz w:val="22"/>
          <w:rFonts w:eastAsia="SimHei"/>
        </w:rPr>
        <w:t>~6%</w:t>
      </w:r>
      <w:r>
        <w:rPr>
          <w:rFonts w:ascii="Times New Roman" w:hAnsi="Times New Roman"/>
          <w:sz w:val="22"/>
          <w:rFonts w:eastAsia="SimSun"/>
        </w:rPr>
        <w:t xml:space="preserve">). At peak, inflation reaches approximately </w:t>
      </w:r>
      <w:r>
        <w:rPr>
          <w:rFonts w:ascii="Times New Roman" w:hAnsi="Times New Roman"/>
          <w:b/>
          <w:color w:val="9A7B2A"/>
          <w:sz w:val="22"/>
          <w:rFonts w:eastAsia="SimHei"/>
        </w:rPr>
        <w:t>1–3%</w:t>
      </w:r>
      <w:r>
        <w:rPr>
          <w:rFonts w:ascii="Times New Roman" w:hAnsi="Times New Roman"/>
          <w:sz w:val="22"/>
          <w:rFonts w:eastAsia="SimSun"/>
        </w:rPr>
        <w:t xml:space="preserve"> — in line with the natural expansion rate of above-ground gold stock.</w:t>
      </w:r>
    </w:p>
    <w:p>
      <w:pPr>
        <w:pStyle w:val="Heading2"/>
      </w:pPr>
      <w:r>
        <w:t>4.3  Gold Reserve Coverage Ratio</w:t>
      </w:r>
    </w:p>
    <w:p>
      <w:pPr>
        <w:spacing w:line="360" w:lineRule="auto"/>
      </w:pPr>
      <w:r>
        <w:rPr>
          <w:rFonts w:ascii="Times New Roman" w:hAnsi="Times New Roman"/>
          <w:sz w:val="22"/>
          <w:rFonts w:eastAsia="SimSun"/>
        </w:rPr>
        <w:t xml:space="preserve">Coverage ratio remains </w:t>
      </w:r>
      <w:r>
        <w:rPr>
          <w:rFonts w:ascii="Times New Roman" w:hAnsi="Times New Roman"/>
          <w:b/>
          <w:color w:val="9A7B2A"/>
          <w:sz w:val="22"/>
          <w:rFonts w:eastAsia="SimHei"/>
        </w:rPr>
        <w:t>≥ 100%</w:t>
      </w:r>
      <w:r>
        <w:rPr>
          <w:rFonts w:ascii="Times New Roman" w:hAnsi="Times New Roman"/>
          <w:sz w:val="22"/>
          <w:rFonts w:eastAsia="SimSun"/>
        </w:rPr>
        <w:t xml:space="preserve"> throughout the 10-year simulation period. The 0.5% fee revenue continuously purchases physical gold at a pace that exceeds pGOLD unlock velocity. By Year 10, the reserve coverage ratio substantially </w:t>
      </w:r>
      <w:r>
        <w:rPr>
          <w:rFonts w:ascii="Times New Roman" w:hAnsi="Times New Roman"/>
          <w:b/>
          <w:color w:val="9A7B2A"/>
          <w:sz w:val="22"/>
          <w:rFonts w:eastAsia="SimHei"/>
        </w:rPr>
        <w:t>exceeds 100%</w:t>
      </w:r>
      <w:r>
        <w:rPr>
          <w:rFonts w:ascii="Times New Roman" w:hAnsi="Times New Roman"/>
          <w:sz w:val="22"/>
          <w:rFonts w:eastAsia="SimSun"/>
        </w:rPr>
        <w:t xml:space="preserve"> — meaning the protocol holds more physical gold than the sum of all outstanding pGOLD commitments.</w:t>
      </w:r>
    </w:p>
    <w:p>
      <w:pPr>
        <w:pStyle w:val="Heading2"/>
      </w:pPr>
      <w:r>
        <w:t>4.4  Comparative Supply Analysis</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984"/>
            <w:shd w:fill="2C2C3A" w:val="clear"/>
          </w:tcPr>
          <w:p>
            <w:pPr>
              <w:jc w:val="center"/>
            </w:pPr>
            <w:r/>
            <w:r>
              <w:rPr>
                <w:rFonts w:ascii="Times New Roman" w:hAnsi="Times New Roman"/>
                <w:b/>
                <w:color w:val="FFFFFF"/>
                <w:sz w:val="18"/>
                <w:rFonts w:eastAsia="SimHei"/>
              </w:rPr>
              <w:t>Metric</w:t>
            </w:r>
          </w:p>
        </w:tc>
        <w:tc>
          <w:tcPr>
            <w:tcW w:type="dxa" w:w="1984"/>
            <w:shd w:fill="2C2C3A" w:val="clear"/>
          </w:tcPr>
          <w:p>
            <w:pPr>
              <w:jc w:val="center"/>
            </w:pPr>
            <w:r/>
            <w:r>
              <w:rPr>
                <w:rFonts w:ascii="Times New Roman" w:hAnsi="Times New Roman"/>
                <w:b/>
                <w:color w:val="FFFFFF"/>
                <w:sz w:val="18"/>
                <w:rFonts w:eastAsia="SimHei"/>
              </w:rPr>
              <w:t>pGOLD</w:t>
            </w:r>
          </w:p>
        </w:tc>
        <w:tc>
          <w:tcPr>
            <w:tcW w:type="dxa" w:w="1984"/>
            <w:shd w:fill="2C2C3A" w:val="clear"/>
          </w:tcPr>
          <w:p>
            <w:pPr>
              <w:jc w:val="center"/>
            </w:pPr>
            <w:r/>
            <w:r>
              <w:rPr>
                <w:rFonts w:ascii="Times New Roman" w:hAnsi="Times New Roman"/>
                <w:b/>
                <w:color w:val="FFFFFF"/>
                <w:sz w:val="18"/>
                <w:rFonts w:eastAsia="SimHei"/>
              </w:rPr>
              <w:t>Physical Gold</w:t>
            </w:r>
          </w:p>
        </w:tc>
        <w:tc>
          <w:tcPr>
            <w:tcW w:type="dxa" w:w="1701"/>
            <w:shd w:fill="2C2C3A" w:val="clear"/>
          </w:tcPr>
          <w:p>
            <w:pPr>
              <w:jc w:val="center"/>
            </w:pPr>
            <w:r/>
            <w:r>
              <w:rPr>
                <w:rFonts w:ascii="Times New Roman" w:hAnsi="Times New Roman"/>
                <w:b/>
                <w:color w:val="FFFFFF"/>
                <w:sz w:val="18"/>
                <w:rFonts w:eastAsia="SimHei"/>
              </w:rPr>
              <w:t>Bitcoin</w:t>
            </w:r>
          </w:p>
        </w:tc>
        <w:tc>
          <w:tcPr>
            <w:tcW w:type="dxa" w:w="1701"/>
            <w:shd w:fill="2C2C3A" w:val="clear"/>
          </w:tcPr>
          <w:p>
            <w:pPr>
              <w:jc w:val="center"/>
            </w:pPr>
            <w:r/>
            <w:r>
              <w:rPr>
                <w:rFonts w:ascii="Times New Roman" w:hAnsi="Times New Roman"/>
                <w:b/>
                <w:color w:val="FFFFFF"/>
                <w:sz w:val="18"/>
                <w:rFonts w:eastAsia="SimHei"/>
              </w:rPr>
              <w:t>USD</w:t>
            </w:r>
          </w:p>
        </w:tc>
      </w:tr>
      <w:tr>
        <w:tc>
          <w:tcPr>
            <w:tcW w:type="dxa" w:w="1984"/>
          </w:tcPr>
          <w:p>
            <w:r/>
            <w:r>
              <w:rPr>
                <w:rFonts w:ascii="Times New Roman" w:hAnsi="Times New Roman"/>
                <w:color w:val="2D2D2D"/>
                <w:sz w:val="18"/>
                <w:rFonts w:eastAsia="SimSun"/>
              </w:rPr>
              <w:t>Annual Supply Growth</w:t>
            </w:r>
          </w:p>
        </w:tc>
        <w:tc>
          <w:tcPr>
            <w:tcW w:type="dxa" w:w="1984"/>
          </w:tcPr>
          <w:p>
            <w:pPr>
              <w:jc w:val="right"/>
            </w:pPr>
            <w:r/>
            <w:r>
              <w:rPr>
                <w:rFonts w:ascii="Times New Roman" w:hAnsi="Times New Roman"/>
                <w:color w:val="2D2D2D"/>
                <w:sz w:val="18"/>
                <w:rFonts w:eastAsia="SimSun"/>
              </w:rPr>
              <w:t>~1–3%</w:t>
            </w:r>
          </w:p>
        </w:tc>
        <w:tc>
          <w:tcPr>
            <w:tcW w:type="dxa" w:w="1984"/>
          </w:tcPr>
          <w:p>
            <w:pPr>
              <w:jc w:val="right"/>
            </w:pPr>
            <w:r/>
            <w:r>
              <w:rPr>
                <w:rFonts w:ascii="Times New Roman" w:hAnsi="Times New Roman"/>
                <w:color w:val="2D2D2D"/>
                <w:sz w:val="18"/>
                <w:rFonts w:eastAsia="SimSun"/>
              </w:rPr>
              <w:t>~1.7%</w:t>
            </w:r>
          </w:p>
        </w:tc>
        <w:tc>
          <w:tcPr>
            <w:tcW w:type="dxa" w:w="1701"/>
          </w:tcPr>
          <w:p>
            <w:pPr>
              <w:jc w:val="right"/>
            </w:pPr>
            <w:r/>
            <w:r>
              <w:rPr>
                <w:rFonts w:ascii="Times New Roman" w:hAnsi="Times New Roman"/>
                <w:color w:val="2D2D2D"/>
                <w:sz w:val="18"/>
                <w:rFonts w:eastAsia="SimSun"/>
              </w:rPr>
              <w:t>~0.8%</w:t>
            </w:r>
          </w:p>
        </w:tc>
        <w:tc>
          <w:tcPr>
            <w:tcW w:type="dxa" w:w="1701"/>
          </w:tcPr>
          <w:p>
            <w:pPr>
              <w:jc w:val="right"/>
            </w:pPr>
            <w:r/>
            <w:r>
              <w:rPr>
                <w:rFonts w:ascii="Times New Roman" w:hAnsi="Times New Roman"/>
                <w:color w:val="2D2D2D"/>
                <w:sz w:val="18"/>
                <w:rFonts w:eastAsia="SimSun"/>
              </w:rPr>
              <w:t>~6%</w:t>
            </w:r>
          </w:p>
        </w:tc>
      </w:tr>
      <w:tr>
        <w:tc>
          <w:tcPr>
            <w:tcW w:type="dxa" w:w="1984"/>
            <w:shd w:fill="F8F6F0" w:val="clear"/>
          </w:tcPr>
          <w:p>
            <w:r/>
            <w:r>
              <w:rPr>
                <w:rFonts w:ascii="Times New Roman" w:hAnsi="Times New Roman"/>
                <w:color w:val="2D2D2D"/>
                <w:sz w:val="18"/>
                <w:rFonts w:eastAsia="SimSun"/>
              </w:rPr>
              <w:t>Reserve Backing</w:t>
            </w:r>
          </w:p>
        </w:tc>
        <w:tc>
          <w:tcPr>
            <w:tcW w:type="dxa" w:w="1984"/>
            <w:shd w:fill="F8F6F0" w:val="clear"/>
          </w:tcPr>
          <w:p>
            <w:pPr>
              <w:jc w:val="right"/>
            </w:pPr>
            <w:r/>
            <w:r>
              <w:rPr>
                <w:rFonts w:ascii="Times New Roman" w:hAnsi="Times New Roman"/>
                <w:color w:val="2D2D2D"/>
                <w:sz w:val="18"/>
                <w:rFonts w:eastAsia="SimSun"/>
              </w:rPr>
              <w:t>100%+ physical gold</w:t>
            </w:r>
          </w:p>
        </w:tc>
        <w:tc>
          <w:tcPr>
            <w:tcW w:type="dxa" w:w="1984"/>
            <w:shd w:fill="F8F6F0" w:val="clear"/>
          </w:tcPr>
          <w:p>
            <w:pPr>
              <w:jc w:val="right"/>
            </w:pPr>
            <w:r/>
            <w:r>
              <w:rPr>
                <w:rFonts w:ascii="Times New Roman" w:hAnsi="Times New Roman"/>
                <w:color w:val="2D2D2D"/>
                <w:sz w:val="18"/>
                <w:rFonts w:eastAsia="SimSun"/>
              </w:rPr>
              <w:t>Self</w:t>
            </w:r>
          </w:p>
        </w:tc>
        <w:tc>
          <w:tcPr>
            <w:tcW w:type="dxa" w:w="1701"/>
            <w:shd w:fill="F8F6F0" w:val="clear"/>
          </w:tcPr>
          <w:p>
            <w:pPr>
              <w:jc w:val="right"/>
            </w:pPr>
            <w:r/>
            <w:r>
              <w:rPr>
                <w:rFonts w:ascii="Times New Roman" w:hAnsi="Times New Roman"/>
                <w:color w:val="2D2D2D"/>
                <w:sz w:val="18"/>
                <w:rFonts w:eastAsia="SimSun"/>
              </w:rPr>
              <w:t>None</w:t>
            </w:r>
          </w:p>
        </w:tc>
        <w:tc>
          <w:tcPr>
            <w:tcW w:type="dxa" w:w="1701"/>
            <w:shd w:fill="F8F6F0" w:val="clear"/>
          </w:tcPr>
          <w:p>
            <w:pPr>
              <w:jc w:val="right"/>
            </w:pPr>
            <w:r/>
            <w:r>
              <w:rPr>
                <w:rFonts w:ascii="Times New Roman" w:hAnsi="Times New Roman"/>
                <w:color w:val="2D2D2D"/>
                <w:sz w:val="18"/>
                <w:rFonts w:eastAsia="SimSun"/>
              </w:rPr>
              <w:t>US credit</w:t>
            </w:r>
          </w:p>
        </w:tc>
      </w:tr>
      <w:tr>
        <w:tc>
          <w:tcPr>
            <w:tcW w:type="dxa" w:w="1984"/>
          </w:tcPr>
          <w:p>
            <w:r/>
            <w:r>
              <w:rPr>
                <w:rFonts w:ascii="Times New Roman" w:hAnsi="Times New Roman"/>
                <w:color w:val="2D2D2D"/>
                <w:sz w:val="18"/>
                <w:rFonts w:eastAsia="SimSun"/>
              </w:rPr>
              <w:t>5-Year Supply Growth</w:t>
            </w:r>
          </w:p>
        </w:tc>
        <w:tc>
          <w:tcPr>
            <w:tcW w:type="dxa" w:w="1984"/>
          </w:tcPr>
          <w:p>
            <w:pPr>
              <w:jc w:val="right"/>
            </w:pPr>
            <w:r/>
            <w:r>
              <w:rPr>
                <w:rFonts w:ascii="Times New Roman" w:hAnsi="Times New Roman"/>
                <w:color w:val="2D2D2D"/>
                <w:sz w:val="18"/>
                <w:rFonts w:eastAsia="SimSun"/>
              </w:rPr>
              <w:t>~10–25%</w:t>
            </w:r>
          </w:p>
        </w:tc>
        <w:tc>
          <w:tcPr>
            <w:tcW w:type="dxa" w:w="1984"/>
          </w:tcPr>
          <w:p>
            <w:pPr>
              <w:jc w:val="right"/>
            </w:pPr>
            <w:r/>
            <w:r>
              <w:rPr>
                <w:rFonts w:ascii="Times New Roman" w:hAnsi="Times New Roman"/>
                <w:color w:val="2D2D2D"/>
                <w:sz w:val="18"/>
                <w:rFonts w:eastAsia="SimSun"/>
              </w:rPr>
              <w:t>~8.5%</w:t>
            </w:r>
          </w:p>
        </w:tc>
        <w:tc>
          <w:tcPr>
            <w:tcW w:type="dxa" w:w="1701"/>
          </w:tcPr>
          <w:p>
            <w:pPr>
              <w:jc w:val="right"/>
            </w:pPr>
            <w:r/>
            <w:r>
              <w:rPr>
                <w:rFonts w:ascii="Times New Roman" w:hAnsi="Times New Roman"/>
                <w:color w:val="2D2D2D"/>
                <w:sz w:val="18"/>
                <w:rFonts w:eastAsia="SimSun"/>
              </w:rPr>
              <w:t>~4%</w:t>
            </w:r>
          </w:p>
        </w:tc>
        <w:tc>
          <w:tcPr>
            <w:tcW w:type="dxa" w:w="1701"/>
          </w:tcPr>
          <w:p>
            <w:pPr>
              <w:jc w:val="right"/>
            </w:pPr>
            <w:r/>
            <w:r>
              <w:rPr>
                <w:rFonts w:ascii="Times New Roman" w:hAnsi="Times New Roman"/>
                <w:color w:val="2D2D2D"/>
                <w:sz w:val="18"/>
                <w:rFonts w:eastAsia="SimSun"/>
              </w:rPr>
              <w:t>~34%</w:t>
            </w:r>
          </w:p>
        </w:tc>
      </w:tr>
      <w:tr>
        <w:tc>
          <w:tcPr>
            <w:tcW w:type="dxa" w:w="1984"/>
            <w:shd w:fill="F8F6F0" w:val="clear"/>
          </w:tcPr>
          <w:p>
            <w:r/>
            <w:r>
              <w:rPr>
                <w:rFonts w:ascii="Times New Roman" w:hAnsi="Times New Roman"/>
                <w:color w:val="2D2D2D"/>
                <w:sz w:val="18"/>
                <w:rFonts w:eastAsia="SimSun"/>
              </w:rPr>
              <w:t>Liquidity</w:t>
            </w:r>
          </w:p>
        </w:tc>
        <w:tc>
          <w:tcPr>
            <w:tcW w:type="dxa" w:w="1984"/>
            <w:shd w:fill="F8F6F0" w:val="clear"/>
          </w:tcPr>
          <w:p>
            <w:pPr>
              <w:jc w:val="right"/>
            </w:pPr>
            <w:r/>
            <w:r>
              <w:rPr>
                <w:rFonts w:ascii="Times New Roman" w:hAnsi="Times New Roman"/>
                <w:color w:val="2D2D2D"/>
                <w:sz w:val="18"/>
                <w:rFonts w:eastAsia="SimSun"/>
              </w:rPr>
              <w:t>24/7 redemption</w:t>
            </w:r>
          </w:p>
        </w:tc>
        <w:tc>
          <w:tcPr>
            <w:tcW w:type="dxa" w:w="1984"/>
            <w:shd w:fill="F8F6F0" w:val="clear"/>
          </w:tcPr>
          <w:p>
            <w:pPr>
              <w:jc w:val="right"/>
            </w:pPr>
            <w:r/>
            <w:r>
              <w:rPr>
                <w:rFonts w:ascii="Times New Roman" w:hAnsi="Times New Roman"/>
                <w:color w:val="2D2D2D"/>
                <w:sz w:val="18"/>
                <w:rFonts w:eastAsia="SimSun"/>
              </w:rPr>
              <w:t>Physical delivery</w:t>
            </w:r>
          </w:p>
        </w:tc>
        <w:tc>
          <w:tcPr>
            <w:tcW w:type="dxa" w:w="1701"/>
            <w:shd w:fill="F8F6F0" w:val="clear"/>
          </w:tcPr>
          <w:p>
            <w:pPr>
              <w:jc w:val="right"/>
            </w:pPr>
            <w:r/>
            <w:r>
              <w:rPr>
                <w:rFonts w:ascii="Times New Roman" w:hAnsi="Times New Roman"/>
                <w:color w:val="2D2D2D"/>
                <w:sz w:val="18"/>
                <w:rFonts w:eastAsia="SimSun"/>
              </w:rPr>
              <w:t>Exchange required</w:t>
            </w:r>
          </w:p>
        </w:tc>
        <w:tc>
          <w:tcPr>
            <w:tcW w:type="dxa" w:w="1701"/>
            <w:shd w:fill="F8F6F0" w:val="clear"/>
          </w:tcPr>
          <w:p>
            <w:pPr>
              <w:jc w:val="right"/>
            </w:pPr>
            <w:r/>
            <w:r>
              <w:rPr>
                <w:rFonts w:ascii="Times New Roman" w:hAnsi="Times New Roman"/>
                <w:color w:val="2D2D2D"/>
                <w:sz w:val="18"/>
                <w:rFonts w:eastAsia="SimSun"/>
              </w:rPr>
              <w:t>Banking system</w:t>
            </w:r>
          </w:p>
        </w:tc>
      </w:tr>
      <w:tr>
        <w:tc>
          <w:tcPr>
            <w:tcW w:type="dxa" w:w="1984"/>
          </w:tcPr>
          <w:p>
            <w:r/>
            <w:r>
              <w:rPr>
                <w:rFonts w:ascii="Times New Roman" w:hAnsi="Times New Roman"/>
                <w:color w:val="2D2D2D"/>
                <w:sz w:val="18"/>
                <w:rFonts w:eastAsia="SimSun"/>
              </w:rPr>
              <w:t>Programmability</w:t>
            </w:r>
          </w:p>
        </w:tc>
        <w:tc>
          <w:tcPr>
            <w:tcW w:type="dxa" w:w="1984"/>
          </w:tcPr>
          <w:p>
            <w:pPr>
              <w:jc w:val="right"/>
            </w:pPr>
            <w:r/>
            <w:r>
              <w:rPr>
                <w:rFonts w:ascii="Times New Roman" w:hAnsi="Times New Roman"/>
                <w:color w:val="2D2D2D"/>
                <w:sz w:val="18"/>
                <w:rFonts w:eastAsia="SimSun"/>
              </w:rPr>
              <w:t>Smart contracts</w:t>
            </w:r>
          </w:p>
        </w:tc>
        <w:tc>
          <w:tcPr>
            <w:tcW w:type="dxa" w:w="1984"/>
          </w:tcPr>
          <w:p>
            <w:pPr>
              <w:jc w:val="right"/>
            </w:pPr>
            <w:r/>
            <w:r>
              <w:rPr>
                <w:rFonts w:ascii="Times New Roman" w:hAnsi="Times New Roman"/>
                <w:color w:val="2D2D2D"/>
                <w:sz w:val="18"/>
                <w:rFonts w:eastAsia="SimSun"/>
              </w:rPr>
              <w:t>None</w:t>
            </w:r>
          </w:p>
        </w:tc>
        <w:tc>
          <w:tcPr>
            <w:tcW w:type="dxa" w:w="1701"/>
          </w:tcPr>
          <w:p>
            <w:pPr>
              <w:jc w:val="right"/>
            </w:pPr>
            <w:r/>
            <w:r>
              <w:rPr>
                <w:rFonts w:ascii="Times New Roman" w:hAnsi="Times New Roman"/>
                <w:color w:val="2D2D2D"/>
                <w:sz w:val="18"/>
                <w:rFonts w:eastAsia="SimSun"/>
              </w:rPr>
              <w:t>Limited</w:t>
            </w:r>
          </w:p>
        </w:tc>
        <w:tc>
          <w:tcPr>
            <w:tcW w:type="dxa" w:w="1701"/>
          </w:tcPr>
          <w:p>
            <w:pPr>
              <w:jc w:val="right"/>
            </w:pPr>
            <w:r/>
            <w:r>
              <w:rPr>
                <w:rFonts w:ascii="Times New Roman" w:hAnsi="Times New Roman"/>
                <w:color w:val="2D2D2D"/>
                <w:sz w:val="18"/>
                <w:rFonts w:eastAsia="SimSun"/>
              </w:rPr>
              <w:t>None</w:t>
            </w:r>
          </w:p>
        </w:tc>
      </w:tr>
    </w:tbl>
    <w:p>
      <w:pPr>
        <w:pStyle w:val="Heading2"/>
      </w:pPr>
      <w:r>
        <w:t>4.5  Why This Is Not a Ponzi Scheme</w:t>
      </w:r>
    </w:p>
    <w:p>
      <w:pPr>
        <w:spacing w:before="160" w:after="160"/>
        <w:ind w:left="283"/>
        <w:pBdr>
          <w:top w:val="single" w:sz="4" w:space="4" w:color="D4A853"/>
          <w:left w:val="single" w:sz="4" w:space="4" w:color="D4A853"/>
          <w:bottom w:val="single" w:sz="4" w:space="4" w:color="D4A853"/>
          <w:right w:val="single" w:sz="4" w:space="4" w:color="D4A853"/>
        </w:pBdr>
        <w:shd w:fill="FCF8F0" w:val="clear"/>
      </w:pPr>
      <w:r>
        <w:rPr>
          <w:rFonts w:ascii="Times New Roman" w:hAnsi="Times New Roman"/>
          <w:color w:val="444444"/>
          <w:sz w:val="20"/>
          <w:rFonts w:eastAsia="SimSun"/>
        </w:rPr>
        <w:t>Five fatal characteristics of Ponzi schemes — pGOLD exhibits none of them:</w:t>
        <w:br/>
        <w:br/>
        <w:t>✗ Later entrants pay earlier entrants → pGOLD rewards are covered by the protocol's issuance plan; all revenue comes from real trading fees, not new user deposits.</w:t>
        <w:br/>
        <w:br/>
        <w:t>✗ No external real revenue → Annual fee revenue is generated from 0.5% trading fees; 100% flows into the vault to purchase physical gold. The vault only grows.</w:t>
        <w:br/>
        <w:br/>
        <w:t>✗ Unfulfillable promises → Every pGOLD token corresponds to physical gold. The vault is publicly auditable in real time. Anyone can verify the reserve coverage ratio.</w:t>
        <w:br/>
        <w:br/>
        <w:t>✗ Single user type, zero-sum game → pGOLD has two independent demand forces: Trading Users and Merchant Users. Even if trading incentives cease, merchants still need pGOLD to settle physical trade. There is no "last bag holder" scenario.</w:t>
        <w:br/>
        <w:br/>
        <w:t>✗ Unlimited issuance → no hard cap — monthly/quarterly/annual rewards stack independently. 10-year lockup ensures smooth, controlled release.</w:t>
        <w:br/>
        <w:br/>
        <w:t>✓ The essence of pGOLD: Incentivize real trading through mechanism design → Fees purchase physical gold → Gold reserves back every pGOLD → Merchants use pGOLD to settle real trade. This is liquidity cold-start + physical asset backing + three-party economy. Not a Ponzi.</w:t>
      </w:r>
    </w:p>
    <w:p>
      <w:r>
        <w:br w:type="page"/>
      </w:r>
    </w:p>
    <w:p>
      <w:pPr>
        <w:spacing w:after="0"/>
      </w:pPr>
      <w:r>
        <w:rPr>
          <w:rFonts w:ascii="Times New Roman" w:hAnsi="Times New Roman"/>
          <w:b/>
          <w:color w:val="D4A853"/>
          <w:sz w:val="22"/>
          <w:rFonts w:eastAsia="SimHei"/>
        </w:rPr>
        <w:t>CHAPTER V</w:t>
      </w:r>
    </w:p>
    <w:p>
      <w:pPr>
        <w:pStyle w:val="Heading1"/>
      </w:pPr>
      <w:r>
        <w:t>Protocol Sustainability: Revenue, Expenditure &amp; Reserve Proof</w:t>
      </w:r>
    </w:p>
    <w:p>
      <w:pPr>
        <w:pStyle w:val="Heading2"/>
      </w:pPr>
      <w:r>
        <w:t>5.1  Revenue Sources (Baseline Scenario)</w:t>
      </w:r>
    </w:p>
    <w:tbl>
      <w:tblPr>
        <w:tblStyle w:val="TableGrid"/>
        <w:tblW w:type="auto" w:w="0"/>
        <w:jc w:val="center"/>
        <w:tblLook w:firstColumn="1" w:firstRow="1" w:lastColumn="0" w:lastRow="0" w:noHBand="0" w:noVBand="1" w:val="04A0"/>
      </w:tblPr>
      <w:tblGrid>
        <w:gridCol w:w="3009"/>
        <w:gridCol w:w="3009"/>
        <w:gridCol w:w="3009"/>
      </w:tblGrid>
      <w:tr>
        <w:tc>
          <w:tcPr>
            <w:tcW w:type="dxa" w:w="3402"/>
            <w:shd w:fill="2C2C3A" w:val="clear"/>
          </w:tcPr>
          <w:p>
            <w:pPr>
              <w:jc w:val="center"/>
            </w:pPr>
            <w:r/>
            <w:r>
              <w:rPr>
                <w:rFonts w:ascii="Times New Roman" w:hAnsi="Times New Roman"/>
                <w:b/>
                <w:color w:val="FFFFFF"/>
                <w:sz w:val="18"/>
                <w:rFonts w:eastAsia="SimHei"/>
              </w:rPr>
              <w:t>Revenue Source</w:t>
            </w:r>
          </w:p>
        </w:tc>
        <w:tc>
          <w:tcPr>
            <w:tcW w:type="dxa" w:w="3118"/>
            <w:shd w:fill="2C2C3A" w:val="clear"/>
          </w:tcPr>
          <w:p>
            <w:pPr>
              <w:jc w:val="center"/>
            </w:pPr>
            <w:r/>
            <w:r>
              <w:rPr>
                <w:rFonts w:ascii="Times New Roman" w:hAnsi="Times New Roman"/>
                <w:b/>
                <w:color w:val="FFFFFF"/>
                <w:sz w:val="18"/>
                <w:rFonts w:eastAsia="SimHei"/>
              </w:rPr>
              <w:t>Calculation</w:t>
            </w:r>
          </w:p>
        </w:tc>
        <w:tc>
          <w:tcPr>
            <w:tcW w:type="dxa" w:w="2835"/>
            <w:shd w:fill="2C2C3A" w:val="clear"/>
          </w:tcPr>
          <w:p>
            <w:pPr>
              <w:jc w:val="center"/>
            </w:pPr>
            <w:r/>
            <w:r>
              <w:rPr>
                <w:rFonts w:ascii="Times New Roman" w:hAnsi="Times New Roman"/>
                <w:b/>
                <w:color w:val="FFFFFF"/>
                <w:sz w:val="18"/>
                <w:rFonts w:eastAsia="SimHei"/>
              </w:rPr>
              <w:t>Annual Revenue</w:t>
            </w:r>
          </w:p>
        </w:tc>
      </w:tr>
      <w:tr>
        <w:tc>
          <w:tcPr>
            <w:tcW w:type="dxa" w:w="3402"/>
          </w:tcPr>
          <w:p>
            <w:r/>
            <w:r>
              <w:rPr>
                <w:rFonts w:ascii="Times New Roman" w:hAnsi="Times New Roman"/>
                <w:color w:val="2D2D2D"/>
                <w:sz w:val="18"/>
                <w:rFonts w:eastAsia="SimSun"/>
              </w:rPr>
              <w:t>Annual Top 100 Volume</w:t>
            </w:r>
          </w:p>
        </w:tc>
        <w:tc>
          <w:tcPr>
            <w:tcW w:type="dxa" w:w="3118"/>
          </w:tcPr>
          <w:p>
            <w:pPr>
              <w:jc w:val="right"/>
            </w:pPr>
            <w:r/>
            <w:r>
              <w:rPr>
                <w:rFonts w:ascii="Times New Roman" w:hAnsi="Times New Roman"/>
                <w:color w:val="2D2D2D"/>
                <w:sz w:val="18"/>
                <w:rFonts w:eastAsia="SimSun"/>
              </w:rPr>
              <w:t>100 traders × $500M annual volume</w:t>
            </w:r>
          </w:p>
        </w:tc>
        <w:tc>
          <w:tcPr>
            <w:tcW w:type="dxa" w:w="2835"/>
          </w:tcPr>
          <w:p>
            <w:pPr>
              <w:jc w:val="right"/>
            </w:pPr>
            <w:r/>
            <w:r>
              <w:rPr>
                <w:rFonts w:ascii="Times New Roman" w:hAnsi="Times New Roman"/>
                <w:color w:val="2D2D2D"/>
                <w:sz w:val="18"/>
                <w:rFonts w:eastAsia="SimSun"/>
              </w:rPr>
              <w:t>$50,000,000,000</w:t>
            </w:r>
          </w:p>
        </w:tc>
      </w:tr>
      <w:tr>
        <w:tc>
          <w:tcPr>
            <w:tcW w:type="dxa" w:w="3402"/>
            <w:shd w:fill="F8F6F0" w:val="clear"/>
          </w:tcPr>
          <w:p>
            <w:r/>
            <w:r>
              <w:rPr>
                <w:rFonts w:ascii="Times New Roman" w:hAnsi="Times New Roman"/>
                <w:color w:val="2D2D2D"/>
                <w:sz w:val="18"/>
                <w:rFonts w:eastAsia="SimSun"/>
              </w:rPr>
              <w:t>→ Fee Revenue (0.5%)</w:t>
            </w:r>
          </w:p>
        </w:tc>
        <w:tc>
          <w:tcPr>
            <w:tcW w:type="dxa" w:w="3118"/>
            <w:shd w:fill="F8F6F0" w:val="clear"/>
          </w:tcPr>
          <w:p>
            <w:pPr>
              <w:jc w:val="right"/>
            </w:pPr>
            <w:r/>
            <w:r>
              <w:rPr>
                <w:rFonts w:ascii="Times New Roman" w:hAnsi="Times New Roman"/>
                <w:color w:val="2D2D2D"/>
                <w:sz w:val="18"/>
                <w:rFonts w:eastAsia="SimSun"/>
              </w:rPr>
              <w:t>$50B × 0.5%</w:t>
            </w:r>
          </w:p>
        </w:tc>
        <w:tc>
          <w:tcPr>
            <w:tcW w:type="dxa" w:w="2835"/>
            <w:shd w:fill="F8F6F0" w:val="clear"/>
          </w:tcPr>
          <w:p>
            <w:pPr>
              <w:jc w:val="right"/>
            </w:pPr>
            <w:r/>
            <w:r>
              <w:rPr>
                <w:rFonts w:ascii="Times New Roman" w:hAnsi="Times New Roman"/>
                <w:color w:val="2D2D2D"/>
                <w:sz w:val="18"/>
                <w:rFonts w:eastAsia="SimSun"/>
              </w:rPr>
              <w:t>$250,000,000</w:t>
            </w:r>
          </w:p>
        </w:tc>
      </w:tr>
      <w:tr>
        <w:tc>
          <w:tcPr>
            <w:tcW w:type="dxa" w:w="3402"/>
          </w:tcPr>
          <w:p>
            <w:r/>
            <w:r>
              <w:rPr>
                <w:rFonts w:ascii="Times New Roman" w:hAnsi="Times New Roman"/>
                <w:color w:val="2D2D2D"/>
                <w:sz w:val="18"/>
                <w:rFonts w:eastAsia="SimSun"/>
              </w:rPr>
              <w:t>Burn Miner Volume</w:t>
            </w:r>
          </w:p>
        </w:tc>
        <w:tc>
          <w:tcPr>
            <w:tcW w:type="dxa" w:w="3118"/>
          </w:tcPr>
          <w:p>
            <w:pPr>
              <w:jc w:val="right"/>
            </w:pPr>
            <w:r/>
            <w:r>
              <w:rPr>
                <w:rFonts w:ascii="Times New Roman" w:hAnsi="Times New Roman"/>
                <w:color w:val="2D2D2D"/>
                <w:sz w:val="18"/>
                <w:rFonts w:eastAsia="SimSun"/>
              </w:rPr>
              <w:t>5,000 miners × $100,000</w:t>
            </w:r>
          </w:p>
        </w:tc>
        <w:tc>
          <w:tcPr>
            <w:tcW w:type="dxa" w:w="2835"/>
          </w:tcPr>
          <w:p>
            <w:pPr>
              <w:jc w:val="right"/>
            </w:pPr>
            <w:r/>
            <w:r>
              <w:rPr>
                <w:rFonts w:ascii="Times New Roman" w:hAnsi="Times New Roman"/>
                <w:color w:val="2D2D2D"/>
                <w:sz w:val="18"/>
                <w:rFonts w:eastAsia="SimSun"/>
              </w:rPr>
              <w:t>$500,000,000</w:t>
            </w:r>
          </w:p>
        </w:tc>
      </w:tr>
      <w:tr>
        <w:tc>
          <w:tcPr>
            <w:tcW w:type="dxa" w:w="3402"/>
            <w:shd w:fill="F8F6F0" w:val="clear"/>
          </w:tcPr>
          <w:p>
            <w:r/>
            <w:r>
              <w:rPr>
                <w:rFonts w:ascii="Times New Roman" w:hAnsi="Times New Roman"/>
                <w:color w:val="2D2D2D"/>
                <w:sz w:val="18"/>
                <w:rFonts w:eastAsia="SimSun"/>
              </w:rPr>
              <w:t>→ Fee Revenue</w:t>
            </w:r>
          </w:p>
        </w:tc>
        <w:tc>
          <w:tcPr>
            <w:tcW w:type="dxa" w:w="3118"/>
            <w:shd w:fill="F8F6F0" w:val="clear"/>
          </w:tcPr>
          <w:p>
            <w:pPr>
              <w:jc w:val="right"/>
            </w:pPr>
            <w:r/>
            <w:r>
              <w:rPr>
                <w:rFonts w:ascii="Times New Roman" w:hAnsi="Times New Roman"/>
                <w:color w:val="2D2D2D"/>
                <w:sz w:val="18"/>
                <w:rFonts w:eastAsia="SimSun"/>
              </w:rPr>
              <w:t>$0.5B × 0.5%</w:t>
            </w:r>
          </w:p>
        </w:tc>
        <w:tc>
          <w:tcPr>
            <w:tcW w:type="dxa" w:w="2835"/>
            <w:shd w:fill="F8F6F0" w:val="clear"/>
          </w:tcPr>
          <w:p>
            <w:pPr>
              <w:jc w:val="right"/>
            </w:pPr>
            <w:r/>
            <w:r>
              <w:rPr>
                <w:rFonts w:ascii="Times New Roman" w:hAnsi="Times New Roman"/>
                <w:color w:val="2D2D2D"/>
                <w:sz w:val="18"/>
                <w:rFonts w:eastAsia="SimSun"/>
              </w:rPr>
              <w:t>$2,500,000</w:t>
            </w:r>
          </w:p>
        </w:tc>
      </w:tr>
      <w:tr>
        <w:tc>
          <w:tcPr>
            <w:tcW w:type="dxa" w:w="3402"/>
          </w:tcPr>
          <w:p>
            <w:r/>
            <w:r>
              <w:rPr>
                <w:rFonts w:ascii="Times New Roman" w:hAnsi="Times New Roman"/>
                <w:color w:val="2D2D2D"/>
                <w:sz w:val="18"/>
                <w:rFonts w:eastAsia="SimSun"/>
              </w:rPr>
              <w:t>Retail &amp; Others (~5%)</w:t>
            </w:r>
          </w:p>
        </w:tc>
        <w:tc>
          <w:tcPr>
            <w:tcW w:type="dxa" w:w="3118"/>
          </w:tcPr>
          <w:p>
            <w:pPr>
              <w:jc w:val="right"/>
            </w:pPr>
            <w:r/>
            <w:r>
              <w:rPr>
                <w:rFonts w:ascii="Times New Roman" w:hAnsi="Times New Roman"/>
                <w:color w:val="2D2D2D"/>
                <w:sz w:val="18"/>
                <w:rFonts w:eastAsia="SimSun"/>
              </w:rPr>
              <w:t>—</w:t>
            </w:r>
          </w:p>
        </w:tc>
        <w:tc>
          <w:tcPr>
            <w:tcW w:type="dxa" w:w="2835"/>
          </w:tcPr>
          <w:p>
            <w:pPr>
              <w:jc w:val="right"/>
            </w:pPr>
            <w:r/>
            <w:r>
              <w:rPr>
                <w:rFonts w:ascii="Times New Roman" w:hAnsi="Times New Roman"/>
                <w:color w:val="2D2D2D"/>
                <w:sz w:val="18"/>
                <w:rFonts w:eastAsia="SimSun"/>
              </w:rPr>
              <w:t>$12,600,000</w:t>
            </w:r>
          </w:p>
        </w:tc>
      </w:tr>
      <w:tr>
        <w:tc>
          <w:tcPr>
            <w:tcW w:type="dxa" w:w="3402"/>
            <w:shd w:fill="F8F6F0" w:val="clear"/>
          </w:tcPr>
          <w:p>
            <w:r/>
            <w:r>
              <w:rPr>
                <w:rFonts w:ascii="Times New Roman" w:hAnsi="Times New Roman"/>
                <w:color w:val="2D2D2D"/>
                <w:sz w:val="18"/>
                <w:rFonts w:eastAsia="SimSun"/>
              </w:rPr>
              <w:t>TOTAL ANNUAL REVENUE</w:t>
            </w:r>
          </w:p>
        </w:tc>
        <w:tc>
          <w:tcPr>
            <w:tcW w:type="dxa" w:w="3118"/>
            <w:shd w:fill="F8F6F0" w:val="clear"/>
          </w:tcPr>
          <w:p>
            <w:pPr>
              <w:jc w:val="right"/>
            </w:pPr>
            <w:r/>
            <w:r>
              <w:rPr>
                <w:rFonts w:ascii="Times New Roman" w:hAnsi="Times New Roman"/>
                <w:color w:val="2D2D2D"/>
                <w:sz w:val="18"/>
                <w:rFonts w:eastAsia="SimSun"/>
              </w:rPr>
            </w:r>
          </w:p>
        </w:tc>
        <w:tc>
          <w:tcPr>
            <w:tcW w:type="dxa" w:w="2835"/>
            <w:shd w:fill="F8F6F0" w:val="clear"/>
          </w:tcPr>
          <w:p>
            <w:pPr>
              <w:jc w:val="right"/>
            </w:pPr>
            <w:r/>
            <w:r>
              <w:rPr>
                <w:rFonts w:ascii="Times New Roman" w:hAnsi="Times New Roman"/>
                <w:color w:val="2D2D2D"/>
                <w:sz w:val="18"/>
                <w:rFonts w:eastAsia="SimSun"/>
              </w:rPr>
              <w:t>$265,100,000</w:t>
            </w:r>
          </w:p>
        </w:tc>
      </w:tr>
    </w:tbl>
    <w:p>
      <w:pPr>
        <w:pStyle w:val="Heading2"/>
      </w:pPr>
      <w:r>
        <w:t>5.2  Expenditure Structure (Token Unlocks)</w:t>
      </w:r>
    </w:p>
    <w:p>
      <w:pPr>
        <w:spacing w:line="360" w:lineRule="auto"/>
      </w:pPr>
      <w:r>
        <w:rPr>
          <w:rFonts w:ascii="Times New Roman" w:hAnsi="Times New Roman"/>
          <w:sz w:val="22"/>
          <w:rFonts w:eastAsia="SimSun"/>
        </w:rPr>
        <w:t>"Expenditure" refers to the USD-equivalent value of annually unlocked pGOLD — the protocol uses fee revenue to repurchase these unlocked tokens from the market.</w:t>
      </w:r>
    </w:p>
    <w:tbl>
      <w:tblPr>
        <w:tblStyle w:val="TableGrid"/>
        <w:tblW w:type="auto" w:w="0"/>
        <w:jc w:val="center"/>
        <w:tblLook w:firstColumn="1" w:firstRow="1" w:lastColumn="0" w:lastRow="0" w:noHBand="0" w:noVBand="1" w:val="04A0"/>
      </w:tblPr>
      <w:tblGrid>
        <w:gridCol w:w="3009"/>
        <w:gridCol w:w="3009"/>
        <w:gridCol w:w="3009"/>
      </w:tblGrid>
      <w:tr>
        <w:tc>
          <w:tcPr>
            <w:tcW w:type="dxa" w:w="3402"/>
            <w:shd w:fill="2C2C3A" w:val="clear"/>
          </w:tcPr>
          <w:p>
            <w:pPr>
              <w:jc w:val="center"/>
            </w:pPr>
            <w:r/>
            <w:r>
              <w:rPr>
                <w:rFonts w:ascii="Times New Roman" w:hAnsi="Times New Roman"/>
                <w:b/>
                <w:color w:val="FFFFFF"/>
                <w:sz w:val="18"/>
                <w:rFonts w:eastAsia="SimHei"/>
              </w:rPr>
              <w:t>Expenditure Item</w:t>
            </w:r>
          </w:p>
        </w:tc>
        <w:tc>
          <w:tcPr>
            <w:tcW w:type="dxa" w:w="3118"/>
            <w:shd w:fill="2C2C3A" w:val="clear"/>
          </w:tcPr>
          <w:p>
            <w:pPr>
              <w:jc w:val="center"/>
            </w:pPr>
            <w:r/>
            <w:r>
              <w:rPr>
                <w:rFonts w:ascii="Times New Roman" w:hAnsi="Times New Roman"/>
                <w:b/>
                <w:color w:val="FFFFFF"/>
                <w:sz w:val="18"/>
                <w:rFonts w:eastAsia="SimHei"/>
              </w:rPr>
              <w:t>Calculation</w:t>
            </w:r>
          </w:p>
        </w:tc>
        <w:tc>
          <w:tcPr>
            <w:tcW w:type="dxa" w:w="2835"/>
            <w:shd w:fill="2C2C3A" w:val="clear"/>
          </w:tcPr>
          <w:p>
            <w:pPr>
              <w:jc w:val="center"/>
            </w:pPr>
            <w:r/>
            <w:r>
              <w:rPr>
                <w:rFonts w:ascii="Times New Roman" w:hAnsi="Times New Roman"/>
                <w:b/>
                <w:color w:val="FFFFFF"/>
                <w:sz w:val="18"/>
                <w:rFonts w:eastAsia="SimHei"/>
              </w:rPr>
              <w:t>Annual Unlock</w:t>
            </w:r>
          </w:p>
        </w:tc>
      </w:tr>
      <w:tr>
        <w:tc>
          <w:tcPr>
            <w:tcW w:type="dxa" w:w="3402"/>
          </w:tcPr>
          <w:p>
            <w:r/>
            <w:r>
              <w:rPr>
                <w:rFonts w:ascii="Times New Roman" w:hAnsi="Times New Roman"/>
                <w:color w:val="2D2D2D"/>
                <w:sz w:val="18"/>
                <w:rFonts w:eastAsia="SimSun"/>
              </w:rPr>
              <w:t>Annual Top Reward Y1 Unlock (10yr)</w:t>
            </w:r>
          </w:p>
        </w:tc>
        <w:tc>
          <w:tcPr>
            <w:tcW w:type="dxa" w:w="3118"/>
          </w:tcPr>
          <w:p>
            <w:pPr>
              <w:jc w:val="right"/>
            </w:pPr>
            <w:r/>
            <w:r>
              <w:rPr>
                <w:rFonts w:ascii="Times New Roman" w:hAnsi="Times New Roman"/>
                <w:color w:val="2D2D2D"/>
                <w:sz w:val="18"/>
                <w:rFonts w:eastAsia="SimSun"/>
              </w:rPr>
              <w:t>Deposit $10.5M × 1000% ÷ 10</w:t>
            </w:r>
          </w:p>
        </w:tc>
        <w:tc>
          <w:tcPr>
            <w:tcW w:type="dxa" w:w="2835"/>
          </w:tcPr>
          <w:p>
            <w:pPr>
              <w:jc w:val="right"/>
            </w:pPr>
            <w:r/>
            <w:r>
              <w:rPr>
                <w:rFonts w:ascii="Times New Roman" w:hAnsi="Times New Roman"/>
                <w:color w:val="2D2D2D"/>
                <w:sz w:val="18"/>
                <w:rFonts w:eastAsia="SimSun"/>
              </w:rPr>
              <w:t>$15,000,000</w:t>
            </w:r>
          </w:p>
        </w:tc>
      </w:tr>
      <w:tr>
        <w:tc>
          <w:tcPr>
            <w:tcW w:type="dxa" w:w="3402"/>
            <w:shd w:fill="F8F6F0" w:val="clear"/>
          </w:tcPr>
          <w:p>
            <w:r/>
            <w:r>
              <w:rPr>
                <w:rFonts w:ascii="Times New Roman" w:hAnsi="Times New Roman"/>
                <w:color w:val="2D2D2D"/>
                <w:sz w:val="18"/>
                <w:rFonts w:eastAsia="SimSun"/>
              </w:rPr>
              <w:t>Burn Miner Comp Y1 Unlock (10yr)</w:t>
            </w:r>
          </w:p>
        </w:tc>
        <w:tc>
          <w:tcPr>
            <w:tcW w:type="dxa" w:w="3118"/>
            <w:shd w:fill="F8F6F0" w:val="clear"/>
          </w:tcPr>
          <w:p>
            <w:pPr>
              <w:jc w:val="right"/>
            </w:pPr>
            <w:r/>
            <w:r>
              <w:rPr>
                <w:rFonts w:ascii="Times New Roman" w:hAnsi="Times New Roman"/>
                <w:color w:val="2D2D2D"/>
                <w:sz w:val="18"/>
                <w:rFonts w:eastAsia="SimSun"/>
              </w:rPr>
              <w:t>Loss $50M × 1000% ÷ 10</w:t>
            </w:r>
          </w:p>
        </w:tc>
        <w:tc>
          <w:tcPr>
            <w:tcW w:type="dxa" w:w="2835"/>
            <w:shd w:fill="F8F6F0" w:val="clear"/>
          </w:tcPr>
          <w:p>
            <w:pPr>
              <w:jc w:val="right"/>
            </w:pPr>
            <w:r/>
            <w:r>
              <w:rPr>
                <w:rFonts w:ascii="Times New Roman" w:hAnsi="Times New Roman"/>
                <w:color w:val="2D2D2D"/>
                <w:sz w:val="18"/>
                <w:rFonts w:eastAsia="SimSun"/>
              </w:rPr>
              <w:t>$50,000,000</w:t>
            </w:r>
          </w:p>
        </w:tc>
      </w:tr>
      <w:tr>
        <w:tc>
          <w:tcPr>
            <w:tcW w:type="dxa" w:w="3402"/>
          </w:tcPr>
          <w:p>
            <w:r/>
            <w:r>
              <w:rPr>
                <w:rFonts w:ascii="Times New Roman" w:hAnsi="Times New Roman"/>
                <w:color w:val="2D2D2D"/>
                <w:sz w:val="18"/>
                <w:rFonts w:eastAsia="SimSun"/>
              </w:rPr>
              <w:t>TOTAL ANNUAL UNLOCK</w:t>
            </w:r>
          </w:p>
        </w:tc>
        <w:tc>
          <w:tcPr>
            <w:tcW w:type="dxa" w:w="3118"/>
          </w:tcPr>
          <w:p>
            <w:pPr>
              <w:jc w:val="right"/>
            </w:pPr>
            <w:r/>
            <w:r>
              <w:rPr>
                <w:rFonts w:ascii="Times New Roman" w:hAnsi="Times New Roman"/>
                <w:color w:val="2D2D2D"/>
                <w:sz w:val="18"/>
                <w:rFonts w:eastAsia="SimSun"/>
              </w:rPr>
            </w:r>
          </w:p>
        </w:tc>
        <w:tc>
          <w:tcPr>
            <w:tcW w:type="dxa" w:w="2835"/>
          </w:tcPr>
          <w:p>
            <w:pPr>
              <w:jc w:val="right"/>
            </w:pPr>
            <w:r/>
            <w:r>
              <w:rPr>
                <w:rFonts w:ascii="Times New Roman" w:hAnsi="Times New Roman"/>
                <w:color w:val="2D2D2D"/>
                <w:sz w:val="18"/>
                <w:rFonts w:eastAsia="SimSun"/>
              </w:rPr>
              <w:t>$65,000,000</w:t>
            </w:r>
          </w:p>
        </w:tc>
      </w:tr>
      <w:tr>
        <w:tc>
          <w:tcPr>
            <w:tcW w:type="dxa" w:w="3402"/>
            <w:shd w:fill="F8F6F0" w:val="clear"/>
          </w:tcPr>
          <w:p>
            <w:r/>
            <w:r>
              <w:rPr>
                <w:rFonts w:ascii="Times New Roman" w:hAnsi="Times New Roman"/>
                <w:color w:val="2D2D2D"/>
                <w:sz w:val="18"/>
                <w:rFonts w:eastAsia="SimSun"/>
              </w:rPr>
              <w:t>Operating Costs</w:t>
            </w:r>
          </w:p>
        </w:tc>
        <w:tc>
          <w:tcPr>
            <w:tcW w:type="dxa" w:w="3118"/>
            <w:shd w:fill="F8F6F0" w:val="clear"/>
          </w:tcPr>
          <w:p>
            <w:pPr>
              <w:jc w:val="right"/>
            </w:pPr>
            <w:r/>
            <w:r>
              <w:rPr>
                <w:rFonts w:ascii="Times New Roman" w:hAnsi="Times New Roman"/>
                <w:color w:val="2D2D2D"/>
                <w:sz w:val="18"/>
                <w:rFonts w:eastAsia="SimSun"/>
              </w:rPr>
              <w:t>Team / Legal / Audit / Marketing</w:t>
            </w:r>
          </w:p>
        </w:tc>
        <w:tc>
          <w:tcPr>
            <w:tcW w:type="dxa" w:w="2835"/>
            <w:shd w:fill="F8F6F0" w:val="clear"/>
          </w:tcPr>
          <w:p>
            <w:pPr>
              <w:jc w:val="right"/>
            </w:pPr>
            <w:r/>
            <w:r>
              <w:rPr>
                <w:rFonts w:ascii="Times New Roman" w:hAnsi="Times New Roman"/>
                <w:color w:val="2D2D2D"/>
                <w:sz w:val="18"/>
                <w:rFonts w:eastAsia="SimSun"/>
              </w:rPr>
              <w:t>$15,000,000</w:t>
            </w:r>
          </w:p>
        </w:tc>
      </w:tr>
      <w:tr>
        <w:tc>
          <w:tcPr>
            <w:tcW w:type="dxa" w:w="3402"/>
          </w:tcPr>
          <w:p>
            <w:r/>
            <w:r>
              <w:rPr>
                <w:rFonts w:ascii="Times New Roman" w:hAnsi="Times New Roman"/>
                <w:color w:val="2D2D2D"/>
                <w:sz w:val="18"/>
                <w:rFonts w:eastAsia="SimSun"/>
              </w:rPr>
              <w:t>TOTAL EXPENDITURE</w:t>
            </w:r>
          </w:p>
        </w:tc>
        <w:tc>
          <w:tcPr>
            <w:tcW w:type="dxa" w:w="3118"/>
          </w:tcPr>
          <w:p>
            <w:pPr>
              <w:jc w:val="right"/>
            </w:pPr>
            <w:r/>
            <w:r>
              <w:rPr>
                <w:rFonts w:ascii="Times New Roman" w:hAnsi="Times New Roman"/>
                <w:color w:val="2D2D2D"/>
                <w:sz w:val="18"/>
                <w:rFonts w:eastAsia="SimSun"/>
              </w:rPr>
            </w:r>
          </w:p>
        </w:tc>
        <w:tc>
          <w:tcPr>
            <w:tcW w:type="dxa" w:w="2835"/>
          </w:tcPr>
          <w:p>
            <w:pPr>
              <w:jc w:val="right"/>
            </w:pPr>
            <w:r/>
            <w:r>
              <w:rPr>
                <w:rFonts w:ascii="Times New Roman" w:hAnsi="Times New Roman"/>
                <w:color w:val="2D2D2D"/>
                <w:sz w:val="18"/>
                <w:rFonts w:eastAsia="SimSun"/>
              </w:rPr>
              <w:t>$80,000,000</w:t>
            </w:r>
          </w:p>
        </w:tc>
      </w:tr>
      <w:tr>
        <w:tc>
          <w:tcPr>
            <w:tcW w:type="dxa" w:w="3402"/>
            <w:shd w:fill="F8F6F0" w:val="clear"/>
          </w:tcPr>
          <w:p>
            <w:r/>
            <w:r>
              <w:rPr>
                <w:rFonts w:ascii="Times New Roman" w:hAnsi="Times New Roman"/>
                <w:color w:val="2D2D2D"/>
                <w:sz w:val="18"/>
                <w:rFonts w:eastAsia="SimSun"/>
              </w:rPr>
              <w:t>ANNUAL NET SURPLUS</w:t>
            </w:r>
          </w:p>
        </w:tc>
        <w:tc>
          <w:tcPr>
            <w:tcW w:type="dxa" w:w="3118"/>
            <w:shd w:fill="F8F6F0" w:val="clear"/>
          </w:tcPr>
          <w:p>
            <w:pPr>
              <w:jc w:val="right"/>
            </w:pPr>
            <w:r/>
            <w:r>
              <w:rPr>
                <w:rFonts w:ascii="Times New Roman" w:hAnsi="Times New Roman"/>
                <w:color w:val="2D2D2D"/>
                <w:sz w:val="18"/>
                <w:rFonts w:eastAsia="SimSun"/>
              </w:rPr>
            </w:r>
          </w:p>
        </w:tc>
        <w:tc>
          <w:tcPr>
            <w:tcW w:type="dxa" w:w="2835"/>
            <w:shd w:fill="F8F6F0" w:val="clear"/>
          </w:tcPr>
          <w:p>
            <w:pPr>
              <w:jc w:val="right"/>
            </w:pPr>
            <w:r/>
            <w:r>
              <w:rPr>
                <w:rFonts w:ascii="Times New Roman" w:hAnsi="Times New Roman"/>
                <w:color w:val="2D2D2D"/>
                <w:sz w:val="18"/>
                <w:rFonts w:eastAsia="SimSun"/>
              </w:rPr>
              <w:t>+$185,100,000</w:t>
            </w:r>
          </w:p>
        </w:tc>
      </w:tr>
      <w:tr>
        <w:tc>
          <w:tcPr>
            <w:tcW w:type="dxa" w:w="3402"/>
          </w:tcPr>
          <w:p>
            <w:r/>
            <w:r>
              <w:rPr>
                <w:rFonts w:ascii="Times New Roman" w:hAnsi="Times New Roman"/>
                <w:color w:val="2D2D2D"/>
                <w:sz w:val="18"/>
                <w:rFonts w:eastAsia="SimSun"/>
              </w:rPr>
              <w:t>Fee Repurchase Coverage Ratio</w:t>
            </w:r>
          </w:p>
        </w:tc>
        <w:tc>
          <w:tcPr>
            <w:tcW w:type="dxa" w:w="3118"/>
          </w:tcPr>
          <w:p>
            <w:pPr>
              <w:jc w:val="right"/>
            </w:pPr>
            <w:r/>
            <w:r>
              <w:rPr>
                <w:rFonts w:ascii="Times New Roman" w:hAnsi="Times New Roman"/>
                <w:color w:val="2D2D2D"/>
                <w:sz w:val="18"/>
                <w:rFonts w:eastAsia="SimSun"/>
              </w:rPr>
              <w:t>$265.1M ÷ $65.0M</w:t>
            </w:r>
          </w:p>
        </w:tc>
        <w:tc>
          <w:tcPr>
            <w:tcW w:type="dxa" w:w="2835"/>
          </w:tcPr>
          <w:p>
            <w:pPr>
              <w:jc w:val="right"/>
            </w:pPr>
            <w:r/>
            <w:r>
              <w:rPr>
                <w:rFonts w:ascii="Times New Roman" w:hAnsi="Times New Roman"/>
                <w:color w:val="2D2D2D"/>
                <w:sz w:val="18"/>
                <w:rFonts w:eastAsia="SimSun"/>
              </w:rPr>
              <w:t>4.08×</w:t>
            </w:r>
          </w:p>
        </w:tc>
      </w:tr>
    </w:tbl>
    <w:p>
      <w:pPr>
        <w:spacing w:before="160" w:after="160"/>
        <w:ind w:left="283"/>
        <w:shd w:fill="F2F7E8" w:val="clear"/>
        <w:pBdr>
          <w:left w:val="single" w:sz="12" w:space="8" w:color="4ECB71"/>
        </w:pBdr>
      </w:pPr>
      <w:r>
        <w:rPr>
          <w:rFonts w:ascii="Times New Roman" w:hAnsi="Times New Roman"/>
          <w:color w:val="444444"/>
          <w:sz w:val="20"/>
          <w:rFonts w:eastAsia="SimSun"/>
        </w:rPr>
        <w:t>4.08× Repurchase Coverage: The protocol needs only ~24% of annual fee revenue to repurchase all unlocked pGOLD. The remaining ~76% ($185M) is free surplus, available for gold reserve expansion, asset acquisition, and ecosystem development.</w:t>
        <w:br/>
        <w:br/>
        <w:t>With the 10-year vesting schedule, burn compensation unlocks are reduced to $50M/year, bringing coverage to a very comfortable 4.08×.</w:t>
      </w:r>
    </w:p>
    <w:p>
      <w:pPr>
        <w:pStyle w:val="Heading2"/>
      </w:pPr>
      <w:r>
        <w:t>5.3  Burn Miner: Single-User Anatomy</w:t>
      </w:r>
    </w:p>
    <w:p>
      <w:pPr>
        <w:spacing w:before="160" w:after="160"/>
        <w:ind w:left="283"/>
        <w:pBdr>
          <w:top w:val="single" w:sz="4" w:space="4" w:color="D4A853"/>
          <w:left w:val="single" w:sz="4" w:space="4" w:color="D4A853"/>
          <w:bottom w:val="single" w:sz="4" w:space="4" w:color="D4A853"/>
          <w:right w:val="single" w:sz="4" w:space="4" w:color="D4A853"/>
        </w:pBdr>
        <w:shd w:fill="FCF8F0" w:val="clear"/>
      </w:pPr>
      <w:r>
        <w:rPr>
          <w:rFonts w:ascii="Times New Roman" w:hAnsi="Times New Roman"/>
          <w:color w:val="444444"/>
          <w:sz w:val="20"/>
          <w:rFonts w:eastAsia="SimSun"/>
        </w:rPr>
        <w:t>Assumptions: Single miner annual volume $100,000; loss rate 10%; burn compensation 1000%; 10-year linear vesting.</w:t>
        <w:br/>
        <w:br/>
        <w:t>Annual fee contribution: +$500</w:t>
        <w:br/>
        <w:t>Year-1 compensation unlock: −$10,000</w:t>
        <w:br/>
        <w:t>Single-user unlock exceeds fee: −$9,500</w:t>
        <w:br/>
        <w:br/>
        <w:t>This constitutes a ~20× gap between individual fee contribution and compensation unlock. However, this does not constitute a Ponzi scheme — compensation is paid in locked pGOLD, covered by the protocol issuance plan. The Top 100's massive fee revenue ($250M+) covers total miner unlocks ($50.0M) by 5×.</w:t>
      </w:r>
    </w:p>
    <w:p>
      <w:r>
        <w:br w:type="page"/>
      </w:r>
    </w:p>
    <w:p>
      <w:pPr>
        <w:spacing w:after="0"/>
      </w:pPr>
      <w:r>
        <w:rPr>
          <w:rFonts w:ascii="Times New Roman" w:hAnsi="Times New Roman"/>
          <w:b/>
          <w:color w:val="D4A853"/>
          <w:sz w:val="22"/>
          <w:rFonts w:eastAsia="SimHei"/>
        </w:rPr>
        <w:t>CHAPTER VI</w:t>
      </w:r>
    </w:p>
    <w:p>
      <w:pPr>
        <w:pStyle w:val="Heading1"/>
      </w:pPr>
      <w:r>
        <w:t>Three-Party Economy: Traders · Merchants · Protocol</w:t>
      </w:r>
    </w:p>
    <w:p>
      <w:pPr>
        <w:spacing w:line="360" w:lineRule="auto"/>
      </w:pPr>
      <w:r>
        <w:rPr>
          <w:rFonts w:ascii="Times New Roman" w:hAnsi="Times New Roman"/>
          <w:sz w:val="22"/>
          <w:rFonts w:eastAsia="SimSun"/>
        </w:rPr>
        <w:t>The previous chapter's model assumed that all unlocked pGOLD must be repurchased by the protocol. In reality, the protocol is not the only buyer — there are also Merchant Users.</w:t>
      </w:r>
    </w:p>
    <w:p>
      <w:pPr>
        <w:pStyle w:val="Heading2"/>
      </w:pPr>
      <w:r>
        <w:t>6.1  Who Are the Merchant Users</w:t>
      </w:r>
    </w:p>
    <w:p>
      <w:pPr>
        <w:spacing w:line="360" w:lineRule="auto"/>
      </w:pPr>
      <w:r>
        <w:rPr>
          <w:rFonts w:ascii="Times New Roman" w:hAnsi="Times New Roman"/>
          <w:sz w:val="22"/>
          <w:rFonts w:eastAsia="SimSun"/>
        </w:rPr>
        <w:t>Merchant Users are businesses and enterprises that use pGOLD to settle real goods and services. They buy pGOLD not for speculation, but to use it.</w:t>
      </w:r>
    </w:p>
    <w:p>
      <w:pPr>
        <w:spacing w:before="160" w:after="160"/>
        <w:ind w:left="283"/>
        <w:pBdr>
          <w:top w:val="single" w:sz="4" w:space="4" w:color="D4A853"/>
          <w:left w:val="single" w:sz="4" w:space="4" w:color="D4A853"/>
          <w:bottom w:val="single" w:sz="4" w:space="4" w:color="D4A853"/>
          <w:right w:val="single" w:sz="4" w:space="4" w:color="D4A853"/>
        </w:pBdr>
        <w:shd w:fill="FCF8F0" w:val="clear"/>
      </w:pPr>
      <w:r>
        <w:rPr>
          <w:rFonts w:ascii="Times New Roman" w:hAnsi="Times New Roman"/>
          <w:color w:val="444444"/>
          <w:sz w:val="20"/>
          <w:rFonts w:eastAsia="SimSun"/>
        </w:rPr>
        <w:t>🦀 International importers purchase 100 tonnes of king crab from Russia, settling in pGOLD — eliminating SWIFT's 3-day delay and $50–200 per-transaction intermediary bank fees.</w:t>
        <w:br/>
        <w:br/>
        <w:t>🛢 Middle Eastern oil traders pay freight and storage fees in pGOLD — traditional banks require weeks of compliance review for oil trades; on-chain settlement completes in seconds.</w:t>
        <w:br/>
        <w:br/>
        <w:t>🏭 Southeast Asian factories purchase international equipment and raw materials in pGOLD — no need for letters of credit, no exposure to local currency volatility.</w:t>
      </w:r>
    </w:p>
    <w:p>
      <w:pPr>
        <w:pStyle w:val="Heading2"/>
      </w:pPr>
      <w:r>
        <w:t>6.2  How Merchants Transform the Protocol's Economic Model</w:t>
      </w:r>
    </w:p>
    <w:tbl>
      <w:tblPr>
        <w:tblStyle w:val="TableGrid"/>
        <w:tblW w:type="auto" w:w="0"/>
        <w:jc w:val="center"/>
        <w:tblLook w:firstColumn="1" w:firstRow="1" w:lastColumn="0" w:lastRow="0" w:noHBand="0" w:noVBand="1" w:val="04A0"/>
      </w:tblPr>
      <w:tblGrid>
        <w:gridCol w:w="3009"/>
        <w:gridCol w:w="3009"/>
        <w:gridCol w:w="3009"/>
      </w:tblGrid>
      <w:tr>
        <w:tc>
          <w:tcPr>
            <w:tcW w:type="dxa" w:w="3402"/>
            <w:shd w:fill="2C2C3A" w:val="clear"/>
          </w:tcPr>
          <w:p>
            <w:pPr>
              <w:jc w:val="center"/>
            </w:pPr>
            <w:r/>
            <w:r>
              <w:rPr>
                <w:rFonts w:ascii="Times New Roman" w:hAnsi="Times New Roman"/>
                <w:b/>
                <w:color w:val="FFFFFF"/>
                <w:sz w:val="18"/>
                <w:rFonts w:eastAsia="SimHei"/>
              </w:rPr>
            </w:r>
          </w:p>
        </w:tc>
        <w:tc>
          <w:tcPr>
            <w:tcW w:type="dxa" w:w="3118"/>
            <w:shd w:fill="2C2C3A" w:val="clear"/>
          </w:tcPr>
          <w:p>
            <w:pPr>
              <w:jc w:val="center"/>
            </w:pPr>
            <w:r/>
            <w:r>
              <w:rPr>
                <w:rFonts w:ascii="Times New Roman" w:hAnsi="Times New Roman"/>
                <w:b/>
                <w:color w:val="FFFFFF"/>
                <w:sz w:val="18"/>
                <w:rFonts w:eastAsia="SimHei"/>
              </w:rPr>
              <w:t>Two-Party Model</w:t>
            </w:r>
          </w:p>
        </w:tc>
        <w:tc>
          <w:tcPr>
            <w:tcW w:type="dxa" w:w="2835"/>
            <w:shd w:fill="2C2C3A" w:val="clear"/>
          </w:tcPr>
          <w:p>
            <w:pPr>
              <w:jc w:val="center"/>
            </w:pPr>
            <w:r/>
            <w:r>
              <w:rPr>
                <w:rFonts w:ascii="Times New Roman" w:hAnsi="Times New Roman"/>
                <w:b/>
                <w:color w:val="FFFFFF"/>
                <w:sz w:val="18"/>
                <w:rFonts w:eastAsia="SimHei"/>
              </w:rPr>
              <w:t>Three-Party Model</w:t>
            </w:r>
          </w:p>
        </w:tc>
      </w:tr>
      <w:tr>
        <w:tc>
          <w:tcPr>
            <w:tcW w:type="dxa" w:w="3402"/>
          </w:tcPr>
          <w:p>
            <w:r/>
            <w:r>
              <w:rPr>
                <w:rFonts w:ascii="Times New Roman" w:hAnsi="Times New Roman"/>
                <w:color w:val="2D2D2D"/>
                <w:sz w:val="18"/>
                <w:rFonts w:eastAsia="SimSun"/>
              </w:rPr>
              <w:t>Annual Unlock Supply</w:t>
            </w:r>
          </w:p>
        </w:tc>
        <w:tc>
          <w:tcPr>
            <w:tcW w:type="dxa" w:w="3118"/>
          </w:tcPr>
          <w:p>
            <w:pPr>
              <w:jc w:val="right"/>
            </w:pPr>
            <w:r/>
            <w:r>
              <w:rPr>
                <w:rFonts w:ascii="Times New Roman" w:hAnsi="Times New Roman"/>
                <w:color w:val="2D2D2D"/>
                <w:sz w:val="18"/>
                <w:rFonts w:eastAsia="SimSun"/>
              </w:rPr>
              <w:t>$40,800,000</w:t>
            </w:r>
          </w:p>
        </w:tc>
        <w:tc>
          <w:tcPr>
            <w:tcW w:type="dxa" w:w="2835"/>
          </w:tcPr>
          <w:p>
            <w:pPr>
              <w:jc w:val="right"/>
            </w:pPr>
            <w:r/>
            <w:r>
              <w:rPr>
                <w:rFonts w:ascii="Times New Roman" w:hAnsi="Times New Roman"/>
                <w:color w:val="2D2D2D"/>
                <w:sz w:val="18"/>
                <w:rFonts w:eastAsia="SimSun"/>
              </w:rPr>
              <w:t>$40,800,000</w:t>
            </w:r>
          </w:p>
        </w:tc>
      </w:tr>
      <w:tr>
        <w:tc>
          <w:tcPr>
            <w:tcW w:type="dxa" w:w="3402"/>
            <w:shd w:fill="F8F6F0" w:val="clear"/>
          </w:tcPr>
          <w:p>
            <w:r/>
            <w:r>
              <w:rPr>
                <w:rFonts w:ascii="Times New Roman" w:hAnsi="Times New Roman"/>
                <w:color w:val="2D2D2D"/>
                <w:sz w:val="18"/>
                <w:rFonts w:eastAsia="SimSun"/>
              </w:rPr>
              <w:t>Merchant Organic Demand Absorption</w:t>
            </w:r>
          </w:p>
        </w:tc>
        <w:tc>
          <w:tcPr>
            <w:tcW w:type="dxa" w:w="3118"/>
            <w:shd w:fill="F8F6F0" w:val="clear"/>
          </w:tcPr>
          <w:p>
            <w:pPr>
              <w:jc w:val="right"/>
            </w:pPr>
            <w:r/>
            <w:r>
              <w:rPr>
                <w:rFonts w:ascii="Times New Roman" w:hAnsi="Times New Roman"/>
                <w:color w:val="2D2D2D"/>
                <w:sz w:val="18"/>
                <w:rFonts w:eastAsia="SimSun"/>
              </w:rPr>
              <w:t>—</w:t>
            </w:r>
          </w:p>
        </w:tc>
        <w:tc>
          <w:tcPr>
            <w:tcW w:type="dxa" w:w="2835"/>
            <w:shd w:fill="F8F6F0" w:val="clear"/>
          </w:tcPr>
          <w:p>
            <w:pPr>
              <w:jc w:val="right"/>
            </w:pPr>
            <w:r/>
            <w:r>
              <w:rPr>
                <w:rFonts w:ascii="Times New Roman" w:hAnsi="Times New Roman"/>
                <w:color w:val="2D2D2D"/>
                <w:sz w:val="18"/>
                <w:rFonts w:eastAsia="SimSun"/>
              </w:rPr>
              <w:t>−$15,000,000 (Year 5)</w:t>
            </w:r>
          </w:p>
        </w:tc>
      </w:tr>
      <w:tr>
        <w:tc>
          <w:tcPr>
            <w:tcW w:type="dxa" w:w="3402"/>
          </w:tcPr>
          <w:p>
            <w:r/>
            <w:r>
              <w:rPr>
                <w:rFonts w:ascii="Times New Roman" w:hAnsi="Times New Roman"/>
                <w:color w:val="2D2D2D"/>
                <w:sz w:val="18"/>
                <w:rFonts w:eastAsia="SimSun"/>
              </w:rPr>
              <w:t>Protocol Net Burden</w:t>
            </w:r>
          </w:p>
        </w:tc>
        <w:tc>
          <w:tcPr>
            <w:tcW w:type="dxa" w:w="3118"/>
          </w:tcPr>
          <w:p>
            <w:pPr>
              <w:jc w:val="right"/>
            </w:pPr>
            <w:r/>
            <w:r>
              <w:rPr>
                <w:rFonts w:ascii="Times New Roman" w:hAnsi="Times New Roman"/>
                <w:color w:val="2D2D2D"/>
                <w:sz w:val="18"/>
                <w:rFonts w:eastAsia="SimSun"/>
              </w:rPr>
              <w:t>$40,800,000</w:t>
            </w:r>
          </w:p>
        </w:tc>
        <w:tc>
          <w:tcPr>
            <w:tcW w:type="dxa" w:w="2835"/>
          </w:tcPr>
          <w:p>
            <w:pPr>
              <w:jc w:val="right"/>
            </w:pPr>
            <w:r/>
            <w:r>
              <w:rPr>
                <w:rFonts w:ascii="Times New Roman" w:hAnsi="Times New Roman"/>
                <w:color w:val="2D2D2D"/>
                <w:sz w:val="18"/>
                <w:rFonts w:eastAsia="SimSun"/>
              </w:rPr>
              <w:t>$25,800,000</w:t>
            </w:r>
          </w:p>
        </w:tc>
      </w:tr>
      <w:tr>
        <w:tc>
          <w:tcPr>
            <w:tcW w:type="dxa" w:w="3402"/>
            <w:shd w:fill="F8F6F0" w:val="clear"/>
          </w:tcPr>
          <w:p>
            <w:r/>
            <w:r>
              <w:rPr>
                <w:rFonts w:ascii="Times New Roman" w:hAnsi="Times New Roman"/>
                <w:color w:val="2D2D2D"/>
                <w:sz w:val="18"/>
                <w:rFonts w:eastAsia="SimSun"/>
              </w:rPr>
              <w:t>Fee Gold Purchasing Power</w:t>
            </w:r>
          </w:p>
        </w:tc>
        <w:tc>
          <w:tcPr>
            <w:tcW w:type="dxa" w:w="3118"/>
            <w:shd w:fill="F8F6F0" w:val="clear"/>
          </w:tcPr>
          <w:p>
            <w:pPr>
              <w:jc w:val="right"/>
            </w:pPr>
            <w:r/>
            <w:r>
              <w:rPr>
                <w:rFonts w:ascii="Times New Roman" w:hAnsi="Times New Roman"/>
                <w:color w:val="2D2D2D"/>
                <w:sz w:val="18"/>
                <w:rFonts w:eastAsia="SimSun"/>
              </w:rPr>
              <w:t>$265,100,000</w:t>
            </w:r>
          </w:p>
        </w:tc>
        <w:tc>
          <w:tcPr>
            <w:tcW w:type="dxa" w:w="2835"/>
            <w:shd w:fill="F8F6F0" w:val="clear"/>
          </w:tcPr>
          <w:p>
            <w:pPr>
              <w:jc w:val="right"/>
            </w:pPr>
            <w:r/>
            <w:r>
              <w:rPr>
                <w:rFonts w:ascii="Times New Roman" w:hAnsi="Times New Roman"/>
                <w:color w:val="2D2D2D"/>
                <w:sz w:val="18"/>
                <w:rFonts w:eastAsia="SimSun"/>
              </w:rPr>
              <w:t>$265,100,000</w:t>
            </w:r>
          </w:p>
        </w:tc>
      </w:tr>
      <w:tr>
        <w:tc>
          <w:tcPr>
            <w:tcW w:type="dxa" w:w="3402"/>
          </w:tcPr>
          <w:p>
            <w:r/>
            <w:r>
              <w:rPr>
                <w:rFonts w:ascii="Times New Roman" w:hAnsi="Times New Roman"/>
                <w:color w:val="2D2D2D"/>
                <w:sz w:val="18"/>
                <w:rFonts w:eastAsia="SimSun"/>
              </w:rPr>
              <w:t>Repurchase Coverage Ratio</w:t>
            </w:r>
          </w:p>
        </w:tc>
        <w:tc>
          <w:tcPr>
            <w:tcW w:type="dxa" w:w="3118"/>
          </w:tcPr>
          <w:p>
            <w:pPr>
              <w:jc w:val="right"/>
            </w:pPr>
            <w:r/>
            <w:r>
              <w:rPr>
                <w:rFonts w:ascii="Times New Roman" w:hAnsi="Times New Roman"/>
                <w:color w:val="2D2D2D"/>
                <w:sz w:val="18"/>
                <w:rFonts w:eastAsia="SimSun"/>
              </w:rPr>
              <w:t>6.5×</w:t>
            </w:r>
          </w:p>
        </w:tc>
        <w:tc>
          <w:tcPr>
            <w:tcW w:type="dxa" w:w="2835"/>
          </w:tcPr>
          <w:p>
            <w:pPr>
              <w:jc w:val="right"/>
            </w:pPr>
            <w:r/>
            <w:r>
              <w:rPr>
                <w:rFonts w:ascii="Times New Roman" w:hAnsi="Times New Roman"/>
                <w:color w:val="2D2D2D"/>
                <w:sz w:val="18"/>
                <w:rFonts w:eastAsia="SimSun"/>
              </w:rPr>
              <w:t>10.3×</w:t>
            </w:r>
          </w:p>
        </w:tc>
      </w:tr>
    </w:tbl>
    <w:p>
      <w:pPr>
        <w:pStyle w:val="Heading2"/>
      </w:pPr>
      <w:r>
        <w:t>6.3  Merchant Economic Incentive — Why They Use pGOLD</w:t>
      </w:r>
    </w:p>
    <w:tbl>
      <w:tblPr>
        <w:tblStyle w:val="TableGrid"/>
        <w:tblW w:type="auto" w:w="0"/>
        <w:jc w:val="center"/>
        <w:tblLook w:firstColumn="1" w:firstRow="1" w:lastColumn="0" w:lastRow="0" w:noHBand="0" w:noVBand="1" w:val="04A0"/>
      </w:tblPr>
      <w:tblGrid>
        <w:gridCol w:w="4513"/>
        <w:gridCol w:w="4513"/>
      </w:tblGrid>
      <w:tr>
        <w:tc>
          <w:tcPr>
            <w:tcW w:type="dxa" w:w="4819"/>
            <w:shd w:fill="2C2C3A" w:val="clear"/>
          </w:tcPr>
          <w:p>
            <w:pPr>
              <w:jc w:val="center"/>
            </w:pPr>
            <w:r/>
            <w:r>
              <w:rPr>
                <w:rFonts w:ascii="Times New Roman" w:hAnsi="Times New Roman"/>
                <w:b/>
                <w:color w:val="FFFFFF"/>
                <w:sz w:val="18"/>
                <w:rFonts w:eastAsia="SimHei"/>
              </w:rPr>
              <w:t>Traditional Cross-Border Payment</w:t>
            </w:r>
          </w:p>
        </w:tc>
        <w:tc>
          <w:tcPr>
            <w:tcW w:type="dxa" w:w="4535"/>
            <w:shd w:fill="2C2C3A" w:val="clear"/>
          </w:tcPr>
          <w:p>
            <w:pPr>
              <w:jc w:val="center"/>
            </w:pPr>
            <w:r/>
            <w:r>
              <w:rPr>
                <w:rFonts w:ascii="Times New Roman" w:hAnsi="Times New Roman"/>
                <w:b/>
                <w:color w:val="FFFFFF"/>
                <w:sz w:val="18"/>
                <w:rFonts w:eastAsia="SimHei"/>
              </w:rPr>
              <w:t>pGOLD Payment</w:t>
            </w:r>
          </w:p>
        </w:tc>
      </w:tr>
      <w:tr>
        <w:tc>
          <w:tcPr>
            <w:tcW w:type="dxa" w:w="4819"/>
          </w:tcPr>
          <w:p>
            <w:r/>
            <w:r>
              <w:rPr>
                <w:rFonts w:ascii="Times New Roman" w:hAnsi="Times New Roman"/>
                <w:color w:val="2D2D2D"/>
                <w:sz w:val="18"/>
                <w:rFonts w:eastAsia="SimSun"/>
              </w:rPr>
              <w:t>SWIFT: 3–5 business days</w:t>
            </w:r>
          </w:p>
        </w:tc>
        <w:tc>
          <w:tcPr>
            <w:tcW w:type="dxa" w:w="4535"/>
          </w:tcPr>
          <w:p>
            <w:pPr>
              <w:jc w:val="right"/>
            </w:pPr>
            <w:r/>
            <w:r>
              <w:rPr>
                <w:rFonts w:ascii="Times New Roman" w:hAnsi="Times New Roman"/>
                <w:color w:val="2D2D2D"/>
                <w:sz w:val="18"/>
                <w:rFonts w:eastAsia="SimSun"/>
              </w:rPr>
              <w:t>On-chain confirmation in seconds</w:t>
            </w:r>
          </w:p>
        </w:tc>
      </w:tr>
      <w:tr>
        <w:tc>
          <w:tcPr>
            <w:tcW w:type="dxa" w:w="4819"/>
            <w:shd w:fill="F8F6F0" w:val="clear"/>
          </w:tcPr>
          <w:p>
            <w:r/>
            <w:r>
              <w:rPr>
                <w:rFonts w:ascii="Times New Roman" w:hAnsi="Times New Roman"/>
                <w:color w:val="2D2D2D"/>
                <w:sz w:val="18"/>
                <w:rFonts w:eastAsia="SimSun"/>
              </w:rPr>
              <w:t>Intermediary fees: $50–$200/tx</w:t>
            </w:r>
          </w:p>
        </w:tc>
        <w:tc>
          <w:tcPr>
            <w:tcW w:type="dxa" w:w="4535"/>
            <w:shd w:fill="F8F6F0" w:val="clear"/>
          </w:tcPr>
          <w:p>
            <w:pPr>
              <w:jc w:val="right"/>
            </w:pPr>
            <w:r/>
            <w:r>
              <w:rPr>
                <w:rFonts w:ascii="Times New Roman" w:hAnsi="Times New Roman"/>
                <w:color w:val="2D2D2D"/>
                <w:sz w:val="18"/>
                <w:rFonts w:eastAsia="SimSun"/>
              </w:rPr>
              <w:t>Gas fee: $0.01–$0.10</w:t>
            </w:r>
          </w:p>
        </w:tc>
      </w:tr>
      <w:tr>
        <w:tc>
          <w:tcPr>
            <w:tcW w:type="dxa" w:w="4819"/>
          </w:tcPr>
          <w:p>
            <w:r/>
            <w:r>
              <w:rPr>
                <w:rFonts w:ascii="Times New Roman" w:hAnsi="Times New Roman"/>
                <w:color w:val="2D2D2D"/>
                <w:sz w:val="18"/>
                <w:rFonts w:eastAsia="SimSun"/>
              </w:rPr>
              <w:t>FX spread loss: 1–3% (bank bid-ask)</w:t>
            </w:r>
          </w:p>
        </w:tc>
        <w:tc>
          <w:tcPr>
            <w:tcW w:type="dxa" w:w="4535"/>
          </w:tcPr>
          <w:p>
            <w:pPr>
              <w:jc w:val="right"/>
            </w:pPr>
            <w:r/>
            <w:r>
              <w:rPr>
                <w:rFonts w:ascii="Times New Roman" w:hAnsi="Times New Roman"/>
                <w:color w:val="2D2D2D"/>
                <w:sz w:val="18"/>
                <w:rFonts w:eastAsia="SimSun"/>
              </w:rPr>
              <w:t>&lt; 0.1% (DEX slippage)</w:t>
            </w:r>
          </w:p>
        </w:tc>
      </w:tr>
      <w:tr>
        <w:tc>
          <w:tcPr>
            <w:tcW w:type="dxa" w:w="4819"/>
            <w:shd w:fill="F8F6F0" w:val="clear"/>
          </w:tcPr>
          <w:p>
            <w:r/>
            <w:r>
              <w:rPr>
                <w:rFonts w:ascii="Times New Roman" w:hAnsi="Times New Roman"/>
                <w:color w:val="2D2D2D"/>
                <w:sz w:val="18"/>
                <w:rFonts w:eastAsia="SimSun"/>
              </w:rPr>
              <w:t>Letter of credit required (fee 0.1%–0.5%)</w:t>
            </w:r>
          </w:p>
        </w:tc>
        <w:tc>
          <w:tcPr>
            <w:tcW w:type="dxa" w:w="4535"/>
            <w:shd w:fill="F8F6F0" w:val="clear"/>
          </w:tcPr>
          <w:p>
            <w:pPr>
              <w:jc w:val="right"/>
            </w:pPr>
            <w:r/>
            <w:r>
              <w:rPr>
                <w:rFonts w:ascii="Times New Roman" w:hAnsi="Times New Roman"/>
                <w:color w:val="2D2D2D"/>
                <w:sz w:val="18"/>
                <w:rFonts w:eastAsia="SimSun"/>
              </w:rPr>
              <w:t>Smart contract auto-execution; no L/C needed</w:t>
            </w:r>
          </w:p>
        </w:tc>
      </w:tr>
      <w:tr>
        <w:tc>
          <w:tcPr>
            <w:tcW w:type="dxa" w:w="4819"/>
          </w:tcPr>
          <w:p>
            <w:r/>
            <w:r>
              <w:rPr>
                <w:rFonts w:ascii="Times New Roman" w:hAnsi="Times New Roman"/>
                <w:color w:val="2D2D2D"/>
                <w:sz w:val="18"/>
                <w:rFonts w:eastAsia="SimSun"/>
              </w:rPr>
              <w:t>Sanctioned country/region restrictions</w:t>
            </w:r>
          </w:p>
        </w:tc>
        <w:tc>
          <w:tcPr>
            <w:tcW w:type="dxa" w:w="4535"/>
          </w:tcPr>
          <w:p>
            <w:pPr>
              <w:jc w:val="right"/>
            </w:pPr>
            <w:r/>
            <w:r>
              <w:rPr>
                <w:rFonts w:ascii="Times New Roman" w:hAnsi="Times New Roman"/>
                <w:color w:val="2D2D2D"/>
                <w:sz w:val="18"/>
                <w:rFonts w:eastAsia="SimSun"/>
              </w:rPr>
              <w:t>Decentralized network; no border restrictions*</w:t>
            </w:r>
          </w:p>
        </w:tc>
      </w:tr>
    </w:tbl>
    <w:p>
      <w:pPr>
        <w:spacing w:line="360" w:lineRule="auto"/>
      </w:pPr>
      <w:r>
        <w:rPr>
          <w:rFonts w:ascii="Times New Roman" w:hAnsi="Times New Roman"/>
          <w:sz w:val="22"/>
          <w:rFonts w:eastAsia="SimSun"/>
        </w:rPr>
        <w:t>* Subject to KYC/AML requirements in each jurisdiction. Protocol-level interaction with OFAC-sanctioned addresses is prohibited.</w:t>
      </w:r>
    </w:p>
    <w:p>
      <w:pPr>
        <w:pStyle w:val="Heading2"/>
      </w:pPr>
      <w:r>
        <w:t>6.4  pGOLD Velocity and Stock Demand</w:t>
      </w:r>
    </w:p>
    <w:p>
      <w:pPr>
        <w:spacing w:line="360" w:lineRule="auto"/>
      </w:pPr>
      <w:r>
        <w:rPr>
          <w:rFonts w:ascii="Times New Roman" w:hAnsi="Times New Roman"/>
          <w:sz w:val="22"/>
          <w:rFonts w:eastAsia="SimSun"/>
        </w:rPr>
        <w:t>Annual merchant settlement volume ÷ pGOLD velocity = required pGOLD stock held. Example: $100M annual settlement at 4× velocity → $25M equivalent pGOLD must be held. Initially velocity is high (suppliers immediately convert received pGOLD), so stock demand is low. As more suppliers accept pGOLD, velocity declines → stock demand rises → more pGOLD is "locked" in trade chains → protocol repurchase burden declines further.</w:t>
      </w:r>
    </w:p>
    <w:p>
      <w:pPr>
        <w:pStyle w:val="Heading2"/>
      </w:pPr>
      <w:r>
        <w:t>6.5  Three-Party Positive Flywheel</w:t>
      </w:r>
    </w:p>
    <w:p>
      <w:pPr>
        <w:spacing w:before="160" w:after="160"/>
        <w:ind w:left="283"/>
        <w:pBdr>
          <w:top w:val="single" w:sz="4" w:space="4" w:color="D4A853"/>
          <w:left w:val="single" w:sz="4" w:space="4" w:color="D4A853"/>
          <w:bottom w:val="single" w:sz="4" w:space="4" w:color="D4A853"/>
          <w:right w:val="single" w:sz="4" w:space="4" w:color="D4A853"/>
        </w:pBdr>
        <w:shd w:fill="FCF8F0" w:val="clear"/>
      </w:pPr>
      <w:r>
        <w:rPr>
          <w:rFonts w:ascii="Times New Roman" w:hAnsi="Times New Roman"/>
          <w:color w:val="444444"/>
          <w:sz w:val="20"/>
          <w:rFonts w:eastAsia="SimSun"/>
        </w:rPr>
        <w:t>Trading Users trade at high frequency → $265M+ annual fee revenue → Protocol purchases physical gold → Gold reserves grow → pGOLD trust increases → More merchants accept pGOLD → Merchants use pGOLD for settlement → Organic demand absorbs unlocked supply → Market depth increases → Better trading experience → More Trading Users join → Return to start.</w:t>
        <w:br/>
        <w:br/>
        <w:t>This flywheel does not rely on external capital injections. It is endogenously self-reinforcing. Every party contributes value; every party benefits. There is no bag holder.</w:t>
      </w:r>
    </w:p>
    <w:p>
      <w:pPr>
        <w:pStyle w:val="Heading2"/>
      </w:pPr>
      <w:r>
        <w:t>6.6  Liquidity Exit: The v-pGOLD Voucher Market</w:t>
      </w:r>
    </w:p>
    <w:p>
      <w:pPr>
        <w:spacing w:line="360" w:lineRule="auto"/>
      </w:pPr>
      <w:r>
        <w:rPr>
          <w:rFonts w:ascii="Times New Roman" w:hAnsi="Times New Roman"/>
          <w:sz w:val="22"/>
          <w:rFonts w:eastAsia="SimSun"/>
        </w:rPr>
        <w:t>Chapter 6 explores the core question: who buys the unlocked pGOLD? Merchant organic demand, trader purchases, and staking lockups form the demand side. But we need an even more elegant mechanism to ensure unlock recipients can realize value without impacting pGOLD spot price. This is v-pGOLD.</w:t>
      </w:r>
    </w:p>
    <w:p>
      <w:pPr>
        <w:pStyle w:val="Heading3"/>
      </w:pPr>
      <w:r>
        <w:t>The Core Problem</w:t>
      </w:r>
    </w:p>
    <w:p>
      <w:pPr>
        <w:spacing w:line="360" w:lineRule="auto"/>
      </w:pPr>
      <w:r>
        <w:rPr>
          <w:rFonts w:ascii="Times New Roman" w:hAnsi="Times New Roman"/>
          <w:sz w:val="22"/>
          <w:rFonts w:eastAsia="SimSun"/>
        </w:rPr>
        <w:t>pGOLD incentive system generates significant locked rewards — Burn Mining 1,000% compensation, Top 100 ranking rewards, team incentives. These rewards enter the market through 10-year linear vesting. If unlock recipients sell unlocked pGOLD directly, it creates persistent sell pressure on spot price. We need a "pressure release valve" — enabling liquidity-needy holders to cash out without the sell orders hitting pGOLD spot market.</w:t>
      </w:r>
    </w:p>
    <w:p>
      <w:pPr>
        <w:pStyle w:val="Heading3"/>
      </w:pPr>
      <w:r>
        <w:t>v-pGOLD Design</w:t>
      </w:r>
    </w:p>
    <w:p>
      <w:pPr>
        <w:spacing w:line="360" w:lineRule="auto"/>
      </w:pPr>
      <w:r>
        <w:rPr>
          <w:rFonts w:ascii="Times New Roman" w:hAnsi="Times New Roman"/>
          <w:sz w:val="22"/>
          <w:rFonts w:eastAsia="SimSun"/>
        </w:rPr>
        <w:t>v-pGOLD (Vested pGOLD) is a voucher that tokenizes the future unlock stream from locked rewards. The mechanism operates in three steps:</w:t>
      </w:r>
    </w:p>
    <w:p>
      <w:pPr>
        <w:spacing w:line="360" w:lineRule="auto"/>
      </w:pPr>
      <w:r>
        <w:rPr>
          <w:rFonts w:ascii="Times New Roman" w:hAnsi="Times New Roman"/>
          <w:sz w:val="22"/>
          <w:rFonts w:eastAsia="SimSun"/>
        </w:rPr>
        <w:t>Step 1: A locked reward holder mints their "remaining unvested pGOLD stream" into a v-pGOLD voucher. Example: $100K total reward, 10-year vesting, $70K remaining at Year 3. The holder mints $70K worth of future release flow into one v-pGOLD voucher.</w:t>
      </w:r>
    </w:p>
    <w:p>
      <w:pPr>
        <w:spacing w:line="360" w:lineRule="auto"/>
      </w:pPr>
      <w:r>
        <w:rPr>
          <w:rFonts w:ascii="Times New Roman" w:hAnsi="Times New Roman"/>
          <w:sz w:val="22"/>
          <w:rFonts w:eastAsia="SimSun"/>
        </w:rPr>
        <w:t>Step 2: v-pGOLD trades on an independent secondary market. The holder sells it to a patient long-term investor. Because the buyer must lock capital for years, v-pGOLD naturally trades at a discount — typically 15%-25%, determined by market supply and demand.</w:t>
      </w:r>
    </w:p>
    <w:p>
      <w:pPr>
        <w:spacing w:line="360" w:lineRule="auto"/>
      </w:pPr>
      <w:r>
        <w:rPr>
          <w:rFonts w:ascii="Times New Roman" w:hAnsi="Times New Roman"/>
          <w:sz w:val="22"/>
          <w:rFonts w:eastAsia="SimSun"/>
        </w:rPr>
        <w:t>Step 3: The smart contract automatically routes daily vesting pGOLD to the current v-pGOLD holder. The buyer receives a steady cash flow stream; the seller receives discounted lump-sum cash upfront.</w:t>
      </w:r>
    </w:p>
    <w:p>
      <w:pPr>
        <w:pStyle w:val="Heading3"/>
      </w:pPr>
      <w:r>
        <w:t>Pricing Model</w:t>
      </w:r>
    </w:p>
    <w:p>
      <w:pPr>
        <w:spacing w:line="360" w:lineRule="auto"/>
      </w:pPr>
      <w:r>
        <w:rPr>
          <w:rFonts w:ascii="Times New Roman" w:hAnsi="Times New Roman"/>
          <w:sz w:val="22"/>
          <w:rFonts w:eastAsia="SimSun"/>
        </w:rPr>
        <w:t>v-pGOLD discount pricing follows the discounted cash flow principle. Using $70K future 7-year release stream as example:</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2C2C3A" w:val="clear"/>
          </w:tcPr>
          <w:p>
            <w:pPr>
              <w:jc w:val="center"/>
            </w:pPr>
            <w:r/>
            <w:r>
              <w:rPr>
                <w:rFonts w:ascii="Times New Roman" w:hAnsi="Times New Roman"/>
                <w:b/>
                <w:color w:val="FFFFFF"/>
                <w:sz w:val="18"/>
                <w:rFonts w:eastAsia="SimHei"/>
              </w:rPr>
              <w:t>Item</w:t>
            </w:r>
          </w:p>
        </w:tc>
        <w:tc>
          <w:tcPr>
            <w:tcW w:type="dxa" w:w="3009"/>
            <w:shd w:fill="2C2C3A" w:val="clear"/>
          </w:tcPr>
          <w:p>
            <w:pPr>
              <w:jc w:val="center"/>
            </w:pPr>
            <w:r/>
            <w:r>
              <w:rPr>
                <w:rFonts w:ascii="Times New Roman" w:hAnsi="Times New Roman"/>
                <w:b/>
                <w:color w:val="FFFFFF"/>
                <w:sz w:val="18"/>
                <w:rFonts w:eastAsia="SimHei"/>
              </w:rPr>
              <w:t>Amount/Rate</w:t>
            </w:r>
          </w:p>
        </w:tc>
        <w:tc>
          <w:tcPr>
            <w:tcW w:type="dxa" w:w="3009"/>
            <w:shd w:fill="2C2C3A" w:val="clear"/>
          </w:tcPr>
          <w:p>
            <w:pPr>
              <w:jc w:val="center"/>
            </w:pPr>
            <w:r/>
            <w:r>
              <w:rPr>
                <w:rFonts w:ascii="Times New Roman" w:hAnsi="Times New Roman"/>
                <w:b/>
                <w:color w:val="FFFFFF"/>
                <w:sz w:val="18"/>
                <w:rFonts w:eastAsia="SimHei"/>
              </w:rPr>
              <w:t>Explanation</w:t>
            </w:r>
          </w:p>
        </w:tc>
      </w:tr>
      <w:tr>
        <w:tc>
          <w:tcPr>
            <w:tcW w:type="dxa" w:w="3009"/>
          </w:tcPr>
          <w:p>
            <w:r/>
            <w:r>
              <w:rPr>
                <w:rFonts w:ascii="Times New Roman" w:hAnsi="Times New Roman"/>
                <w:color w:val="2D2D2D"/>
                <w:sz w:val="18"/>
                <w:rFonts w:eastAsia="SimSun"/>
              </w:rPr>
              <w:t>Face Value (total future releases)</w:t>
            </w:r>
          </w:p>
        </w:tc>
        <w:tc>
          <w:tcPr>
            <w:tcW w:type="dxa" w:w="3009"/>
          </w:tcPr>
          <w:p>
            <w:pPr>
              <w:jc w:val="right"/>
            </w:pPr>
            <w:r/>
            <w:r>
              <w:rPr>
                <w:rFonts w:ascii="Times New Roman" w:hAnsi="Times New Roman"/>
                <w:color w:val="2D2D2D"/>
                <w:sz w:val="18"/>
                <w:rFonts w:eastAsia="SimSun"/>
              </w:rPr>
              <w:t>$70,000</w:t>
            </w:r>
          </w:p>
        </w:tc>
        <w:tc>
          <w:tcPr>
            <w:tcW w:type="dxa" w:w="3009"/>
          </w:tcPr>
          <w:p>
            <w:pPr>
              <w:jc w:val="right"/>
            </w:pPr>
            <w:r/>
            <w:r>
              <w:rPr>
                <w:rFonts w:ascii="Times New Roman" w:hAnsi="Times New Roman"/>
                <w:color w:val="2D2D2D"/>
                <w:sz w:val="18"/>
                <w:rFonts w:eastAsia="SimSun"/>
              </w:rPr>
              <w:t>7 years × 365 days × $27.4/day</w:t>
            </w:r>
          </w:p>
        </w:tc>
      </w:tr>
      <w:tr>
        <w:tc>
          <w:tcPr>
            <w:tcW w:type="dxa" w:w="3009"/>
            <w:shd w:fill="F8F6F0" w:val="clear"/>
          </w:tcPr>
          <w:p>
            <w:r/>
            <w:r>
              <w:rPr>
                <w:rFonts w:ascii="Times New Roman" w:hAnsi="Times New Roman"/>
                <w:color w:val="2D2D2D"/>
                <w:sz w:val="18"/>
                <w:rFonts w:eastAsia="SimSun"/>
              </w:rPr>
              <w:t>Liquidity Discount</w:t>
            </w:r>
          </w:p>
        </w:tc>
        <w:tc>
          <w:tcPr>
            <w:tcW w:type="dxa" w:w="3009"/>
            <w:shd w:fill="F8F6F0" w:val="clear"/>
          </w:tcPr>
          <w:p>
            <w:pPr>
              <w:jc w:val="right"/>
            </w:pPr>
            <w:r/>
            <w:r>
              <w:rPr>
                <w:rFonts w:ascii="Times New Roman" w:hAnsi="Times New Roman"/>
                <w:color w:val="2D2D2D"/>
                <w:sz w:val="18"/>
                <w:rFonts w:eastAsia="SimSun"/>
              </w:rPr>
              <w:t>−20%</w:t>
            </w:r>
          </w:p>
        </w:tc>
        <w:tc>
          <w:tcPr>
            <w:tcW w:type="dxa" w:w="3009"/>
            <w:shd w:fill="F8F6F0" w:val="clear"/>
          </w:tcPr>
          <w:p>
            <w:pPr>
              <w:jc w:val="right"/>
            </w:pPr>
            <w:r/>
            <w:r>
              <w:rPr>
                <w:rFonts w:ascii="Times New Roman" w:hAnsi="Times New Roman"/>
                <w:color w:val="2D2D2D"/>
                <w:sz w:val="18"/>
                <w:rFonts w:eastAsia="SimSun"/>
              </w:rPr>
              <w:t>Compensation for buyer locking capital</w:t>
            </w:r>
          </w:p>
        </w:tc>
      </w:tr>
      <w:tr>
        <w:tc>
          <w:tcPr>
            <w:tcW w:type="dxa" w:w="3009"/>
          </w:tcPr>
          <w:p>
            <w:r/>
            <w:r>
              <w:rPr>
                <w:rFonts w:ascii="Times New Roman" w:hAnsi="Times New Roman"/>
                <w:color w:val="2D2D2D"/>
                <w:sz w:val="18"/>
                <w:rFonts w:eastAsia="SimSun"/>
              </w:rPr>
              <w:t>v-pGOLD Market Price</w:t>
            </w:r>
          </w:p>
        </w:tc>
        <w:tc>
          <w:tcPr>
            <w:tcW w:type="dxa" w:w="3009"/>
          </w:tcPr>
          <w:p>
            <w:pPr>
              <w:jc w:val="right"/>
            </w:pPr>
            <w:r/>
            <w:r>
              <w:rPr>
                <w:rFonts w:ascii="Times New Roman" w:hAnsi="Times New Roman"/>
                <w:color w:val="2D2D2D"/>
                <w:sz w:val="18"/>
                <w:rFonts w:eastAsia="SimSun"/>
              </w:rPr>
              <w:t>$56,000</w:t>
            </w:r>
          </w:p>
        </w:tc>
        <w:tc>
          <w:tcPr>
            <w:tcW w:type="dxa" w:w="3009"/>
          </w:tcPr>
          <w:p>
            <w:pPr>
              <w:jc w:val="right"/>
            </w:pPr>
            <w:r/>
            <w:r>
              <w:rPr>
                <w:rFonts w:ascii="Times New Roman" w:hAnsi="Times New Roman"/>
                <w:color w:val="2D2D2D"/>
                <w:sz w:val="18"/>
                <w:rFonts w:eastAsia="SimSun"/>
              </w:rPr>
              <w:t>Cash to seller</w:t>
            </w:r>
          </w:p>
        </w:tc>
      </w:tr>
      <w:tr>
        <w:tc>
          <w:tcPr>
            <w:tcW w:type="dxa" w:w="3009"/>
            <w:shd w:fill="F8F6F0" w:val="clear"/>
          </w:tcPr>
          <w:p>
            <w:r/>
            <w:r>
              <w:rPr>
                <w:rFonts w:ascii="Times New Roman" w:hAnsi="Times New Roman"/>
                <w:color w:val="2D2D2D"/>
                <w:sz w:val="18"/>
                <w:rFonts w:eastAsia="SimSun"/>
              </w:rPr>
              <w:t>Buyer IRR</w:t>
            </w:r>
          </w:p>
        </w:tc>
        <w:tc>
          <w:tcPr>
            <w:tcW w:type="dxa" w:w="3009"/>
            <w:shd w:fill="F8F6F0" w:val="clear"/>
          </w:tcPr>
          <w:p>
            <w:pPr>
              <w:jc w:val="right"/>
            </w:pPr>
            <w:r/>
            <w:r>
              <w:rPr>
                <w:rFonts w:ascii="Times New Roman" w:hAnsi="Times New Roman"/>
                <w:color w:val="2D2D2D"/>
                <w:sz w:val="18"/>
                <w:rFonts w:eastAsia="SimSun"/>
              </w:rPr>
              <w:t>~11%</w:t>
            </w:r>
          </w:p>
        </w:tc>
        <w:tc>
          <w:tcPr>
            <w:tcW w:type="dxa" w:w="3009"/>
            <w:shd w:fill="F8F6F0" w:val="clear"/>
          </w:tcPr>
          <w:p>
            <w:pPr>
              <w:jc w:val="right"/>
            </w:pPr>
            <w:r/>
            <w:r>
              <w:rPr>
                <w:rFonts w:ascii="Times New Roman" w:hAnsi="Times New Roman"/>
                <w:color w:val="2D2D2D"/>
                <w:sz w:val="18"/>
                <w:rFonts w:eastAsia="SimSun"/>
              </w:rPr>
              <w:t>$56K → $70K recovered over 7 years</w:t>
            </w:r>
          </w:p>
        </w:tc>
      </w:tr>
      <w:tr>
        <w:tc>
          <w:tcPr>
            <w:tcW w:type="dxa" w:w="3009"/>
          </w:tcPr>
          <w:p>
            <w:r/>
            <w:r>
              <w:rPr>
                <w:rFonts w:ascii="Times New Roman" w:hAnsi="Times New Roman"/>
                <w:color w:val="2D2D2D"/>
                <w:sz w:val="18"/>
                <w:rFonts w:eastAsia="SimSun"/>
              </w:rPr>
              <w:t>Add: Gold appreciation</w:t>
            </w:r>
          </w:p>
        </w:tc>
        <w:tc>
          <w:tcPr>
            <w:tcW w:type="dxa" w:w="3009"/>
          </w:tcPr>
          <w:p>
            <w:pPr>
              <w:jc w:val="right"/>
            </w:pPr>
            <w:r/>
            <w:r>
              <w:rPr>
                <w:rFonts w:ascii="Times New Roman" w:hAnsi="Times New Roman"/>
                <w:color w:val="2D2D2D"/>
                <w:sz w:val="18"/>
                <w:rFonts w:eastAsia="SimSun"/>
              </w:rPr>
              <w:t>+3%/yr</w:t>
            </w:r>
          </w:p>
        </w:tc>
        <w:tc>
          <w:tcPr>
            <w:tcW w:type="dxa" w:w="3009"/>
          </w:tcPr>
          <w:p>
            <w:pPr>
              <w:jc w:val="right"/>
            </w:pPr>
            <w:r/>
            <w:r>
              <w:rPr>
                <w:rFonts w:ascii="Times New Roman" w:hAnsi="Times New Roman"/>
                <w:color w:val="2D2D2D"/>
                <w:sz w:val="18"/>
                <w:rFonts w:eastAsia="SimSun"/>
              </w:rPr>
              <w:t>Gold price rise enhances actual return</w:t>
            </w:r>
          </w:p>
        </w:tc>
      </w:tr>
      <w:tr>
        <w:tc>
          <w:tcPr>
            <w:tcW w:type="dxa" w:w="3009"/>
            <w:shd w:fill="F8F6F0" w:val="clear"/>
          </w:tcPr>
          <w:p>
            <w:r/>
            <w:r>
              <w:rPr>
                <w:rFonts w:ascii="Times New Roman" w:hAnsi="Times New Roman"/>
                <w:color w:val="2D2D2D"/>
                <w:sz w:val="18"/>
                <w:rFonts w:eastAsia="SimSun"/>
              </w:rPr>
              <w:t>Buyer Composite IRR</w:t>
            </w:r>
          </w:p>
        </w:tc>
        <w:tc>
          <w:tcPr>
            <w:tcW w:type="dxa" w:w="3009"/>
            <w:shd w:fill="F8F6F0" w:val="clear"/>
          </w:tcPr>
          <w:p>
            <w:pPr>
              <w:jc w:val="right"/>
            </w:pPr>
            <w:r/>
            <w:r>
              <w:rPr>
                <w:rFonts w:ascii="Times New Roman" w:hAnsi="Times New Roman"/>
                <w:color w:val="2D2D2D"/>
                <w:sz w:val="18"/>
                <w:rFonts w:eastAsia="SimSun"/>
              </w:rPr>
              <w:t>14%–16%</w:t>
            </w:r>
          </w:p>
        </w:tc>
        <w:tc>
          <w:tcPr>
            <w:tcW w:type="dxa" w:w="3009"/>
            <w:shd w:fill="F8F6F0" w:val="clear"/>
          </w:tcPr>
          <w:p>
            <w:pPr>
              <w:jc w:val="right"/>
            </w:pPr>
            <w:r/>
            <w:r>
              <w:rPr>
                <w:rFonts w:ascii="Times New Roman" w:hAnsi="Times New Roman"/>
                <w:color w:val="2D2D2D"/>
                <w:sz w:val="18"/>
                <w:rFonts w:eastAsia="SimSun"/>
              </w:rPr>
              <w:t>Exceeds most fixed-income products</w:t>
            </w:r>
          </w:p>
        </w:tc>
      </w:tr>
    </w:tbl>
    <w:p>
      <w:pPr>
        <w:pStyle w:val="Heading3"/>
      </w:pPr>
      <w:r>
        <w:t>Why v-pGOLD Does Not Impact pGOLD Spot</w:t>
      </w:r>
    </w:p>
    <w:p>
      <w:pPr>
        <w:spacing w:before="160" w:after="160"/>
        <w:ind w:left="283"/>
        <w:pBdr>
          <w:top w:val="single" w:sz="4" w:space="4" w:color="D4A853"/>
          <w:left w:val="single" w:sz="4" w:space="4" w:color="D4A853"/>
          <w:bottom w:val="single" w:sz="4" w:space="4" w:color="D4A853"/>
          <w:right w:val="single" w:sz="4" w:space="4" w:color="D4A853"/>
        </w:pBdr>
        <w:shd w:fill="FCF8F0" w:val="clear"/>
      </w:pPr>
      <w:r>
        <w:rPr>
          <w:rFonts w:ascii="Times New Roman" w:hAnsi="Times New Roman"/>
          <w:color w:val="444444"/>
          <w:sz w:val="20"/>
          <w:rFonts w:eastAsia="SimSun"/>
        </w:rPr>
        <w:t>Comparing Two Liquidity Paths:</w:t>
        <w:br/>
        <w:br/>
        <w:t>Path A (Sell unlocked pGOLD): Sell order hits pGOLD spot market → Increases sell pressure → pGOLD price under pressure → Long-term holder confidence erodes.</w:t>
        <w:br/>
        <w:br/>
        <w:t>Path B (Mint and sell v-pGOLD): Sell order enters independent v-pGOLD voucher market → Zero impact on pGOLD spot → Buyer is a long-term investor seeking "11% IRR over 7 years" → They buy the future release stream, not pGOLD spot speculation.</w:t>
        <w:br/>
        <w:br/>
        <w:t>v-pGOLD buyers do not need to believe pGOLD will rise — they earn deterministic discounted release stream returns. This is a bond-like fixed-income logic, fully decoupled from pGOLD price speculation.</w:t>
      </w:r>
    </w:p>
    <w:p>
      <w:pPr>
        <w:pStyle w:val="Heading3"/>
      </w:pPr>
      <w:r>
        <w:t>Comparison with Existing DeFi Primitives</w:t>
      </w:r>
    </w:p>
    <w:p>
      <w:pPr>
        <w:spacing w:line="360" w:lineRule="auto"/>
      </w:pPr>
      <w:r>
        <w:rPr>
          <w:rFonts w:ascii="Times New Roman" w:hAnsi="Times New Roman"/>
          <w:sz w:val="22"/>
          <w:rFonts w:eastAsia="SimSun"/>
        </w:rPr>
        <w:t>v-pGOLD does not reinvent the wheel. It combines two proven DeFi paradigms: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2C2C3A" w:val="clear"/>
          </w:tcPr>
          <w:p>
            <w:pPr>
              <w:jc w:val="center"/>
            </w:pPr>
            <w:r/>
            <w:r>
              <w:rPr>
                <w:rFonts w:ascii="Times New Roman" w:hAnsi="Times New Roman"/>
                <w:b/>
                <w:color w:val="FFFFFF"/>
                <w:sz w:val="18"/>
                <w:rFonts w:eastAsia="SimHei"/>
              </w:rPr>
              <w:t>Primitive</w:t>
            </w:r>
          </w:p>
        </w:tc>
        <w:tc>
          <w:tcPr>
            <w:tcW w:type="dxa" w:w="2256"/>
            <w:shd w:fill="2C2C3A" w:val="clear"/>
          </w:tcPr>
          <w:p>
            <w:pPr>
              <w:jc w:val="center"/>
            </w:pPr>
            <w:r/>
            <w:r>
              <w:rPr>
                <w:rFonts w:ascii="Times New Roman" w:hAnsi="Times New Roman"/>
                <w:b/>
                <w:color w:val="FFFFFF"/>
                <w:sz w:val="18"/>
                <w:rFonts w:eastAsia="SimHei"/>
              </w:rPr>
              <w:t>Representative</w:t>
            </w:r>
          </w:p>
        </w:tc>
        <w:tc>
          <w:tcPr>
            <w:tcW w:type="dxa" w:w="2256"/>
            <w:shd w:fill="2C2C3A" w:val="clear"/>
          </w:tcPr>
          <w:p>
            <w:pPr>
              <w:jc w:val="center"/>
            </w:pPr>
            <w:r/>
            <w:r>
              <w:rPr>
                <w:rFonts w:ascii="Times New Roman" w:hAnsi="Times New Roman"/>
                <w:b/>
                <w:color w:val="FFFFFF"/>
                <w:sz w:val="18"/>
                <w:rFonts w:eastAsia="SimHei"/>
              </w:rPr>
              <w:t>Mechanism</w:t>
            </w:r>
          </w:p>
        </w:tc>
        <w:tc>
          <w:tcPr>
            <w:tcW w:type="dxa" w:w="2256"/>
            <w:shd w:fill="2C2C3A" w:val="clear"/>
          </w:tcPr>
          <w:p>
            <w:pPr>
              <w:jc w:val="center"/>
            </w:pPr>
            <w:r/>
            <w:r>
              <w:rPr>
                <w:rFonts w:ascii="Times New Roman" w:hAnsi="Times New Roman"/>
                <w:b/>
                <w:color w:val="FFFFFF"/>
                <w:sz w:val="18"/>
                <w:rFonts w:eastAsia="SimHei"/>
              </w:rPr>
              <w:t>What v-pGOLD Inherits</w:t>
            </w:r>
          </w:p>
        </w:tc>
      </w:tr>
      <w:tr>
        <w:tc>
          <w:tcPr>
            <w:tcW w:type="dxa" w:w="2256"/>
          </w:tcPr>
          <w:p>
            <w:r/>
            <w:r>
              <w:rPr>
                <w:rFonts w:ascii="Times New Roman" w:hAnsi="Times New Roman"/>
                <w:color w:val="2D2D2D"/>
                <w:sz w:val="18"/>
                <w:rFonts w:eastAsia="SimSun"/>
              </w:rPr>
              <w:t>Liquid Staking</w:t>
            </w:r>
          </w:p>
        </w:tc>
        <w:tc>
          <w:tcPr>
            <w:tcW w:type="dxa" w:w="2256"/>
          </w:tcPr>
          <w:p>
            <w:pPr>
              <w:jc w:val="right"/>
            </w:pPr>
            <w:r/>
            <w:r>
              <w:rPr>
                <w:rFonts w:ascii="Times New Roman" w:hAnsi="Times New Roman"/>
                <w:color w:val="2D2D2D"/>
                <w:sz w:val="18"/>
                <w:rFonts w:eastAsia="SimSun"/>
              </w:rPr>
              <w:t>Lido (stETH)</w:t>
            </w:r>
          </w:p>
        </w:tc>
        <w:tc>
          <w:tcPr>
            <w:tcW w:type="dxa" w:w="2256"/>
          </w:tcPr>
          <w:p>
            <w:pPr>
              <w:jc w:val="right"/>
            </w:pPr>
            <w:r/>
            <w:r>
              <w:rPr>
                <w:rFonts w:ascii="Times New Roman" w:hAnsi="Times New Roman"/>
                <w:color w:val="2D2D2D"/>
                <w:sz w:val="18"/>
                <w:rFonts w:eastAsia="SimSun"/>
              </w:rPr>
              <w:t>Locked assets → tradable voucher</w:t>
            </w:r>
          </w:p>
        </w:tc>
        <w:tc>
          <w:tcPr>
            <w:tcW w:type="dxa" w:w="2256"/>
          </w:tcPr>
          <w:p>
            <w:pPr>
              <w:jc w:val="right"/>
            </w:pPr>
            <w:r/>
            <w:r>
              <w:rPr>
                <w:rFonts w:ascii="Times New Roman" w:hAnsi="Times New Roman"/>
                <w:color w:val="2D2D2D"/>
                <w:sz w:val="18"/>
                <w:rFonts w:eastAsia="SimSun"/>
              </w:rPr>
              <w:t>Asset lock → voucher circulation framework</w:t>
            </w:r>
          </w:p>
        </w:tc>
      </w:tr>
      <w:tr>
        <w:tc>
          <w:tcPr>
            <w:tcW w:type="dxa" w:w="2256"/>
            <w:shd w:fill="F8F6F0" w:val="clear"/>
          </w:tcPr>
          <w:p>
            <w:r/>
            <w:r>
              <w:rPr>
                <w:rFonts w:ascii="Times New Roman" w:hAnsi="Times New Roman"/>
                <w:color w:val="2D2D2D"/>
                <w:sz w:val="18"/>
                <w:rFonts w:eastAsia="SimSun"/>
              </w:rPr>
              <w:t>Yield Stripping</w:t>
            </w:r>
          </w:p>
        </w:tc>
        <w:tc>
          <w:tcPr>
            <w:tcW w:type="dxa" w:w="2256"/>
            <w:shd w:fill="F8F6F0" w:val="clear"/>
          </w:tcPr>
          <w:p>
            <w:pPr>
              <w:jc w:val="right"/>
            </w:pPr>
            <w:r/>
            <w:r>
              <w:rPr>
                <w:rFonts w:ascii="Times New Roman" w:hAnsi="Times New Roman"/>
                <w:color w:val="2D2D2D"/>
                <w:sz w:val="18"/>
                <w:rFonts w:eastAsia="SimSun"/>
              </w:rPr>
              <w:t>Pendle</w:t>
            </w:r>
          </w:p>
        </w:tc>
        <w:tc>
          <w:tcPr>
            <w:tcW w:type="dxa" w:w="2256"/>
            <w:shd w:fill="F8F6F0" w:val="clear"/>
          </w:tcPr>
          <w:p>
            <w:pPr>
              <w:jc w:val="right"/>
            </w:pPr>
            <w:r/>
            <w:r>
              <w:rPr>
                <w:rFonts w:ascii="Times New Roman" w:hAnsi="Times New Roman"/>
                <w:color w:val="2D2D2D"/>
                <w:sz w:val="18"/>
                <w:rFonts w:eastAsia="SimSun"/>
              </w:rPr>
              <w:t>Separate future yield rights from principal</w:t>
            </w:r>
          </w:p>
        </w:tc>
        <w:tc>
          <w:tcPr>
            <w:tcW w:type="dxa" w:w="2256"/>
            <w:shd w:fill="F8F6F0" w:val="clear"/>
          </w:tcPr>
          <w:p>
            <w:pPr>
              <w:jc w:val="right"/>
            </w:pPr>
            <w:r/>
            <w:r>
              <w:rPr>
                <w:rFonts w:ascii="Times New Roman" w:hAnsi="Times New Roman"/>
                <w:color w:val="2D2D2D"/>
                <w:sz w:val="18"/>
                <w:rFonts w:eastAsia="SimSun"/>
              </w:rPr>
              <w:t>Future cash flow → independent token pricing model</w:t>
            </w:r>
          </w:p>
        </w:tc>
      </w:tr>
      <w:tr>
        <w:tc>
          <w:tcPr>
            <w:tcW w:type="dxa" w:w="2256"/>
          </w:tcPr>
          <w:p>
            <w:r/>
            <w:r>
              <w:rPr>
                <w:rFonts w:ascii="Times New Roman" w:hAnsi="Times New Roman"/>
                <w:color w:val="2D2D2D"/>
                <w:sz w:val="18"/>
                <w:rFonts w:eastAsia="SimSun"/>
              </w:rPr>
              <w:t>v-pGOLD</w:t>
            </w:r>
          </w:p>
        </w:tc>
        <w:tc>
          <w:tcPr>
            <w:tcW w:type="dxa" w:w="2256"/>
          </w:tcPr>
          <w:p>
            <w:pPr>
              <w:jc w:val="right"/>
            </w:pPr>
            <w:r/>
            <w:r>
              <w:rPr>
                <w:rFonts w:ascii="Times New Roman" w:hAnsi="Times New Roman"/>
                <w:color w:val="2D2D2D"/>
                <w:sz w:val="18"/>
                <w:rFonts w:eastAsia="SimSun"/>
              </w:rPr>
              <w:t>pGOLD Protocol</w:t>
            </w:r>
          </w:p>
        </w:tc>
        <w:tc>
          <w:tcPr>
            <w:tcW w:type="dxa" w:w="2256"/>
          </w:tcPr>
          <w:p>
            <w:pPr>
              <w:jc w:val="right"/>
            </w:pPr>
            <w:r/>
            <w:r>
              <w:rPr>
                <w:rFonts w:ascii="Times New Roman" w:hAnsi="Times New Roman"/>
                <w:color w:val="2D2D2D"/>
                <w:sz w:val="18"/>
                <w:rFonts w:eastAsia="SimSun"/>
              </w:rPr>
              <w:t>Locked release stream tokenization + discounted secondary market</w:t>
            </w:r>
          </w:p>
        </w:tc>
        <w:tc>
          <w:tcPr>
            <w:tcW w:type="dxa" w:w="2256"/>
          </w:tcPr>
          <w:p>
            <w:pPr>
              <w:jc w:val="right"/>
            </w:pPr>
            <w:r/>
            <w:r>
              <w:rPr>
                <w:rFonts w:ascii="Times New Roman" w:hAnsi="Times New Roman"/>
                <w:color w:val="2D2D2D"/>
                <w:sz w:val="18"/>
                <w:rFonts w:eastAsia="SimSun"/>
              </w:rPr>
              <w:t>Both combined + gold hard-asset backing</w:t>
            </w:r>
          </w:p>
        </w:tc>
      </w:tr>
    </w:tbl>
    <w:p>
      <w:pPr>
        <w:pStyle w:val="Heading3"/>
      </w:pPr>
      <w:r>
        <w:t>Triple Win</w:t>
      </w:r>
    </w:p>
    <w:p>
      <w:pPr>
        <w:spacing w:line="360" w:lineRule="auto"/>
      </w:pPr>
      <w:r>
        <w:rPr>
          <w:rFonts w:ascii="Times New Roman" w:hAnsi="Times New Roman"/>
          <w:sz w:val="22"/>
          <w:rFonts w:eastAsia="SimSun"/>
        </w:rPr>
        <w:t>v-pGOLD creates an elegant three-party equilibrium where all sides benefit simultaneously:</w:t>
      </w:r>
    </w:p>
    <w:p>
      <w:pPr>
        <w:spacing w:line="360" w:lineRule="auto"/>
      </w:pPr>
      <w:r>
        <w:rPr>
          <w:rFonts w:ascii="Times New Roman" w:hAnsi="Times New Roman"/>
          <w:sz w:val="22"/>
          <w:rFonts w:eastAsia="SimSun"/>
        </w:rPr>
        <w:t>Seller (liquidity-needy holder): Receives $56K cash to solve immediate needs, while retaining already-unlocked pGOLD that continues to earn dividends. Compared to selling pGOLD directly, they receive more cash and preserve their pGOLD position.</w:t>
      </w:r>
    </w:p>
    <w:p>
      <w:pPr>
        <w:spacing w:line="360" w:lineRule="auto"/>
      </w:pPr>
      <w:r>
        <w:rPr>
          <w:rFonts w:ascii="Times New Roman" w:hAnsi="Times New Roman"/>
          <w:sz w:val="22"/>
          <w:rFonts w:eastAsia="SimSun"/>
        </w:rPr>
        <w:t>Buyer (long-term investor): Purchases $70K face value of deterministic release stream at 20% discount, earning 11%+ annualized IRR. This is a fixed-income product backed by gold reserves — no need to study charts, no need to watch prices. They are buying "time."</w:t>
      </w:r>
    </w:p>
    <w:p>
      <w:pPr>
        <w:spacing w:line="360" w:lineRule="auto"/>
      </w:pPr>
      <w:r>
        <w:rPr>
          <w:rFonts w:ascii="Times New Roman" w:hAnsi="Times New Roman"/>
          <w:sz w:val="22"/>
          <w:rFonts w:eastAsia="SimSun"/>
        </w:rPr>
        <w:t>Protocol (pGOLD ecosystem): Successfully diverts sell pressure from pGOLD spot market to the v-pGOLD voucher market. pGOLD spot price is affected only by gold reserves, merchant demand, and trader activity — not by unlock sell orders.</w:t>
      </w:r>
    </w:p>
    <w:p>
      <w:pPr>
        <w:pStyle w:val="Heading2"/>
      </w:pPr>
      <w:r>
        <w:t>6.7  Unlocked pGOLD: Who Are the Real Buyers?</w:t>
      </w:r>
    </w:p>
    <w:p>
      <w:pPr>
        <w:spacing w:line="360" w:lineRule="auto"/>
      </w:pPr>
      <w:r>
        <w:rPr>
          <w:rFonts w:ascii="Times New Roman" w:hAnsi="Times New Roman"/>
          <w:sz w:val="22"/>
          <w:rFonts w:eastAsia="SimSun"/>
        </w:rPr>
        <w:t>Section 6.6 addressed "how to cash out locked rewards" — v-pGOLD solves that entirely within a separate voucher market. But pGOLD tokens that are already unlocked and sitting in user wallets need real buyers on the spot market. Protocol fees have already been used to purchase physical gold and sit in reserves — they cannot be used for buybacks. All buy-side demand must come from market participants.</w:t>
      </w:r>
    </w:p>
    <w:p>
      <w:pPr>
        <w:pStyle w:val="Heading3"/>
      </w:pPr>
      <w:r>
        <w:t>The Math of the Problem</w:t>
      </w:r>
    </w:p>
    <w:p>
      <w:pPr>
        <w:spacing w:line="360" w:lineRule="auto"/>
      </w:pPr>
      <w:r>
        <w:rPr>
          <w:rFonts w:ascii="Times New Roman" w:hAnsi="Times New Roman"/>
          <w:sz w:val="22"/>
          <w:rFonts w:eastAsia="SimSun"/>
        </w:rPr>
        <w:t>Under the 10-year vesting design, daily unlock = total locked rewards / 3,650 days. Even at $200M total locked, daily unlock is merely ~$55K. Of this, approximately 60% is sold (40% held for 3.5% dividend yield), resulting in actual daily sell pressure of ~$33K. This volume is trivial for any mid-to-large DEX. The 10-year timeline itself is the strongest liquidity buffer.</w:t>
      </w:r>
    </w:p>
    <w:p>
      <w:pPr>
        <w:pStyle w:val="Heading3"/>
      </w:pPr>
      <w:r>
        <w:t>Five Categories of Real Buyers</w:t>
      </w:r>
    </w:p>
    <w:p>
      <w:pPr>
        <w:spacing w:line="360" w:lineRule="auto"/>
      </w:pPr>
      <w:r>
        <w:rPr>
          <w:rFonts w:ascii="Times New Roman" w:hAnsi="Times New Roman"/>
          <w:sz w:val="22"/>
          <w:rFonts w:eastAsia="SimSun"/>
        </w:rPr>
        <w:t>1. Merchant Settlement Buyers — Functional Demand, Price-Indifferent.</w:t>
      </w:r>
    </w:p>
    <w:p>
      <w:pPr>
        <w:spacing w:line="360" w:lineRule="auto"/>
      </w:pPr>
      <w:r>
        <w:rPr>
          <w:rFonts w:ascii="Times New Roman" w:hAnsi="Times New Roman"/>
          <w:sz w:val="22"/>
          <w:rFonts w:eastAsia="SimSun"/>
        </w:rPr>
        <w:t>Market Users (merchants) using pGOLD for cross-border trade settlement MUST buy pGOLD on the market to pay their suppliers. This is functional demand, not speculative — merchants buy to use, and are indifferent to short-term price fluctuations. Annual trade volume of $50M means ~$137K/day in organic buy pressure, far exceeding daily sell pressure.</w:t>
      </w:r>
    </w:p>
    <w:p>
      <w:pPr>
        <w:spacing w:line="360" w:lineRule="auto"/>
      </w:pPr>
      <w:r>
        <w:rPr>
          <w:rFonts w:ascii="Times New Roman" w:hAnsi="Times New Roman"/>
          <w:sz w:val="22"/>
          <w:rFonts w:eastAsia="SimSun"/>
        </w:rPr>
        <w:t>2. Three-Layer Price Defense System — An Honest Alternative to "Arbitrage Floor".</w:t>
      </w:r>
    </w:p>
    <w:p>
      <w:pPr>
        <w:spacing w:line="360" w:lineRule="auto"/>
      </w:pPr>
      <w:r>
        <w:rPr>
          <w:rFonts w:ascii="Times New Roman" w:hAnsi="Times New Roman"/>
          <w:sz w:val="22"/>
          <w:rFonts w:eastAsia="SimSun"/>
        </w:rPr>
        <w:t>Important: pGOLD gold reserves are NOT open for routine redemption. There is no traditional "buy pGOLD → redeem gold → sell for arbitrage" loop. Instead, a three-layer defense system is employed:</w:t>
      </w:r>
    </w:p>
    <w:p>
      <w:pPr>
        <w:spacing w:line="360" w:lineRule="auto"/>
      </w:pPr>
      <w:r>
        <w:rPr>
          <w:rFonts w:ascii="Times New Roman" w:hAnsi="Times New Roman"/>
          <w:sz w:val="22"/>
          <w:rFonts w:eastAsia="SimSun"/>
        </w:rPr>
        <w:t>Layer 1 · Soft Anchor (always active): Merchant functional arbitrage — when pGOLD trades at a discount, merchants buy discounted pGOLD for trade settlement (buy-and-use, no redemption needed). Dividend yield gravity — deeper discount means higher effective 3.5% APY. Reserve transparency anchor — verifiable on-chain reserves prevent pGOLD from going to zero.</w:t>
      </w:r>
    </w:p>
    <w:p>
      <w:pPr>
        <w:spacing w:line="360" w:lineRule="auto"/>
      </w:pPr>
      <w:r>
        <w:rPr>
          <w:rFonts w:ascii="Times New Roman" w:hAnsi="Times New Roman"/>
          <w:sz w:val="22"/>
          <w:rFonts w:eastAsia="SimSun"/>
        </w:rPr>
        <w:t>Layer 2 · Conditional Redemption (trigger-activated): When pGOLD market price stays below 97% of gold price for 7 consecutive days, authorized redemption channels open. Limited to KYC-verified merchants (monthly volume &gt;$100K), with a quarterly redemption cap of 5% of total reserves, settled at quarter-end. This creates an effective price floor at ~97% of gold.</w:t>
      </w:r>
    </w:p>
    <w:p>
      <w:pPr>
        <w:spacing w:line="360" w:lineRule="auto"/>
      </w:pPr>
      <w:r>
        <w:rPr>
          <w:rFonts w:ascii="Times New Roman" w:hAnsi="Times New Roman"/>
          <w:sz w:val="22"/>
          <w:rFonts w:eastAsia="SimSun"/>
        </w:rPr>
        <w:t>Layer 3 · Stability Fund (extreme activation): When pGOLD stays below 90% of gold price for 48 consecutive hours, the protocol automatically deploys a pre-minted stability fund to buy and burn pGOLD. Fund size starts at 2% of circulating supply, sourced from protocol minting (not from fees), leaving gold reserves untouched. This is the last-resort buyer in extreme panic.</w:t>
      </w:r>
    </w:p>
    <w:p>
      <w:pPr>
        <w:spacing w:line="360" w:lineRule="auto"/>
      </w:pPr>
      <w:r>
        <w:rPr>
          <w:rFonts w:ascii="Times New Roman" w:hAnsi="Times New Roman"/>
          <w:sz w:val="22"/>
          <w:rFonts w:eastAsia="SimSun"/>
        </w:rPr>
        <w:t>3. New User Entry Buyers — Natural Demand from Ecosystem Growth.</w:t>
      </w:r>
    </w:p>
    <w:p>
      <w:pPr>
        <w:spacing w:line="360" w:lineRule="auto"/>
      </w:pPr>
      <w:r>
        <w:rPr>
          <w:rFonts w:ascii="Times New Roman" w:hAnsi="Times New Roman"/>
          <w:sz w:val="22"/>
          <w:rFonts w:eastAsia="SimSun"/>
        </w:rPr>
        <w:t>New traders need pGOLD to pay 0.5% transaction fees; new ranking contenders need pGOLD to stake for leaderboard eligibility. As long as the ecosystem is growing, new user entry creates continuous incremental buy-side demand. $30M annual new user inflow = ~$82K/day in buy pressure.</w:t>
      </w:r>
    </w:p>
    <w:p>
      <w:pPr>
        <w:spacing w:line="360" w:lineRule="auto"/>
      </w:pPr>
      <w:r>
        <w:rPr>
          <w:rFonts w:ascii="Times New Roman" w:hAnsi="Times New Roman"/>
          <w:sz w:val="22"/>
          <w:rFonts w:eastAsia="SimSun"/>
        </w:rPr>
        <w:t>4. AMM Liquidity Provider Buyers — Professional Fee Earners.</w:t>
      </w:r>
    </w:p>
    <w:p>
      <w:pPr>
        <w:spacing w:line="360" w:lineRule="auto"/>
      </w:pPr>
      <w:r>
        <w:rPr>
          <w:rFonts w:ascii="Times New Roman" w:hAnsi="Times New Roman"/>
          <w:sz w:val="22"/>
          <w:rFonts w:eastAsia="SimSun"/>
        </w:rPr>
        <w:t>LPs must hold both sides of the pGOLD/USDT pool. As pool depth and trading volume grow, LPs continuously buy pGOLD to maintain position ratios and earn more fees. A $5M pool with ~15% annual organic growth requires approximately $2K/day in pGOLD purchases.</w:t>
      </w:r>
    </w:p>
    <w:p>
      <w:pPr>
        <w:spacing w:line="360" w:lineRule="auto"/>
      </w:pPr>
      <w:r>
        <w:rPr>
          <w:rFonts w:ascii="Times New Roman" w:hAnsi="Times New Roman"/>
          <w:sz w:val="22"/>
          <w:rFonts w:eastAsia="SimSun"/>
        </w:rPr>
        <w:t>5. Dividend Gravity — "Not Selling" Is the Largest Buyer Substitute.</w:t>
      </w:r>
    </w:p>
    <w:p>
      <w:pPr>
        <w:spacing w:line="360" w:lineRule="auto"/>
      </w:pPr>
      <w:r>
        <w:rPr>
          <w:rFonts w:ascii="Times New Roman" w:hAnsi="Times New Roman"/>
          <w:sz w:val="22"/>
          <w:rFonts w:eastAsia="SimSun"/>
        </w:rPr>
        <w:t>Approximately 40% of unlock recipients choose not to sell. Why? 3.5% annual dividend yield exceeds most sovereign bond yields; continuous fee-driven gold purchases thicken reserves and appreciate intrinsic token value; long-term gold price appreciation provides additional upside. Selling = forfeiting triple returns + accepting a discount. Economic gravity makes "not selling" the rational choice. Every $1 not sold = $1 less buyer needed.</w:t>
      </w:r>
    </w:p>
    <w:p>
      <w:pPr>
        <w:pStyle w:val="Heading3"/>
      </w:pPr>
      <w:r>
        <w:t>Supply-Demand Balance: Buyers Dwarf Sellers</w:t>
      </w:r>
    </w:p>
    <w:p>
      <w:pPr>
        <w:spacing w:line="360" w:lineRule="auto"/>
      </w:pPr>
      <w:r>
        <w:rPr>
          <w:rFonts w:ascii="Times New Roman" w:hAnsi="Times New Roman"/>
          <w:sz w:val="22"/>
          <w:rFonts w:eastAsia="SimSun"/>
        </w:rPr>
        <w:t>Under baseline parameters ($200M total locked, $50M annual merchant trade, $30M annual new user inflow): daily sell pressure = $33K, daily buyer demand = $257K. Supply-to-demand ratio is 7.8x — the market is in a buyer-competition state. Unlocked pGOLD tokens are not dumped on the market; they are undersupplied. Merchants and new users compete to buy.</w:t>
      </w:r>
    </w:p>
    <w:p>
      <w:pPr>
        <w:spacing w:before="160" w:after="160"/>
        <w:ind w:left="283"/>
        <w:pBdr>
          <w:top w:val="single" w:sz="4" w:space="4" w:color="D4A853"/>
          <w:left w:val="single" w:sz="4" w:space="4" w:color="D4A853"/>
          <w:bottom w:val="single" w:sz="4" w:space="4" w:color="D4A853"/>
          <w:right w:val="single" w:sz="4" w:space="4" w:color="D4A853"/>
        </w:pBdr>
        <w:shd w:fill="FCF8F0" w:val="clear"/>
      </w:pPr>
      <w:r>
        <w:rPr>
          <w:rFonts w:ascii="Times New Roman" w:hAnsi="Times New Roman"/>
          <w:color w:val="444444"/>
          <w:sz w:val="20"/>
          <w:rFonts w:eastAsia="SimSun"/>
        </w:rPr>
        <w:t>Core Insight: Daily unlock is a fixed mathematical function of locked rewards ($200M / 3,650 days = $55K/day, constant for 10 years). But buyer demand is a function of ecosystem scale — merchant trade volume and new user growth have no mathematical ceiling. As long as the ecosystem grows, buyer growth outpaces seller growth. This is not a Ponzi — merchants buy pGOLD to pay suppliers, not to bet on price increases.</w:t>
      </w:r>
    </w:p>
    <w:p>
      <w:pPr>
        <w:pStyle w:val="Heading3"/>
      </w:pPr>
      <w:r>
        <w:t>Extreme Stress Test: When All Buyers Vanish</w:t>
      </w:r>
    </w:p>
    <w:p>
      <w:pPr>
        <w:spacing w:line="360" w:lineRule="auto"/>
      </w:pPr>
      <w:r>
        <w:rPr>
          <w:rFonts w:ascii="Times New Roman" w:hAnsi="Times New Roman"/>
          <w:sz w:val="22"/>
          <w:rFonts w:eastAsia="SimSun"/>
        </w:rPr>
        <w:t>Assume the worst case: merchants collectively exit, new user growth stops, AMM liquidity retreats significantly. Daily sell pressure remains $33K, buyer demand shrinks to $18K, creating a $15K daily net deficit. In this scenario:</w:t>
      </w:r>
    </w:p>
    <w:p>
      <w:pPr>
        <w:spacing w:line="360" w:lineRule="auto"/>
      </w:pPr>
      <w:r>
        <w:rPr>
          <w:rFonts w:ascii="Times New Roman" w:hAnsi="Times New Roman"/>
          <w:sz w:val="22"/>
          <w:rFonts w:eastAsia="SimSun"/>
        </w:rPr>
        <w:t>(a) pGOLD price drops below 97% of gold price for 7 consecutive days → Layer 2 conditional redemption activates → KYC merchants can redeem pGOLD for physical gold → effective price floor forms. (b) If price further drops below 90% of gold for 48 hours → Layer 3 stability fund activates → protocol buys and burns pGOLD → reduced circulating supply → increased gold-reserve-to-token ratio. (c) Unlocked pGOLD retains 90-97% of gold value even in worst case → unlock recipients never face total loss. (d) Market self-corrects: three-layer defense engages sequentially → buyer confidence restored → price recovers.</w:t>
      </w:r>
    </w:p>
    <w:p>
      <w:pPr>
        <w:spacing w:line="360" w:lineRule="auto"/>
      </w:pPr>
      <w:r>
        <w:rPr>
          <w:rFonts w:ascii="Times New Roman" w:hAnsi="Times New Roman"/>
          <w:sz w:val="22"/>
          <w:rFonts w:eastAsia="SimSun"/>
        </w:rPr>
        <w:t>Conclusion: Even in the worst case, unlock recipients never face a "cannot sell" scenario — they simply sell at the gold market price, not at zero. The gold floor is the ultimate buyer.</w:t>
      </w:r>
    </w:p>
    <w:p>
      <w:r>
        <w:br w:type="page"/>
      </w:r>
    </w:p>
    <w:p>
      <w:pPr>
        <w:spacing w:after="0"/>
      </w:pPr>
      <w:r>
        <w:rPr>
          <w:rFonts w:ascii="Times New Roman" w:hAnsi="Times New Roman"/>
          <w:b/>
          <w:color w:val="D4A853"/>
          <w:sz w:val="22"/>
          <w:rFonts w:eastAsia="SimHei"/>
        </w:rPr>
        <w:t>CHAPTER VII</w:t>
      </w:r>
    </w:p>
    <w:p>
      <w:pPr>
        <w:pStyle w:val="Heading1"/>
      </w:pPr>
      <w:r>
        <w:t>Asset Replacement: From Token to Hard Assets</w:t>
      </w:r>
    </w:p>
    <w:p>
      <w:pPr>
        <w:spacing w:line="360" w:lineRule="auto"/>
      </w:pPr>
      <w:r>
        <w:rPr>
          <w:rFonts w:ascii="Times New Roman" w:hAnsi="Times New Roman"/>
          <w:sz w:val="22"/>
          <w:rFonts w:eastAsia="SimSun"/>
        </w:rPr>
        <w:t>Once pGOLD achieves sufficient liquidity and pricing power, it ceases to be merely a trading instrument and becomes a payment tool. We can use pGOLD to acquire undervalued physical assets at a discount.</w:t>
      </w:r>
    </w:p>
    <w:p>
      <w:pPr>
        <w:spacing w:before="160" w:after="160"/>
        <w:ind w:left="283"/>
        <w:pBdr>
          <w:top w:val="single" w:sz="4" w:space="4" w:color="D4A853"/>
          <w:left w:val="single" w:sz="4" w:space="4" w:color="D4A853"/>
          <w:bottom w:val="single" w:sz="4" w:space="4" w:color="D4A853"/>
          <w:right w:val="single" w:sz="4" w:space="4" w:color="D4A853"/>
        </w:pBdr>
        <w:shd w:fill="FCF8F0" w:val="clear"/>
      </w:pPr>
      <w:r>
        <w:rPr>
          <w:rFonts w:ascii="Times New Roman" w:hAnsi="Times New Roman"/>
          <w:color w:val="444444"/>
          <w:sz w:val="20"/>
          <w:rFonts w:eastAsia="SimSun"/>
        </w:rPr>
        <w:t>Protocol pays in pGOLD → Asset holder receives instantly liquid digital gold → Protocol gains asset control → Operational turnaround → Value restoration → Profit.</w:t>
      </w:r>
    </w:p>
    <w:p>
      <w:pPr>
        <w:pStyle w:val="Heading2"/>
      </w:pPr>
      <w:r>
        <w:t>7.1  Target Asset Pool</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1701"/>
            <w:shd w:fill="2C2C3A" w:val="clear"/>
          </w:tcPr>
          <w:p>
            <w:pPr>
              <w:jc w:val="center"/>
            </w:pPr>
            <w:r/>
            <w:r>
              <w:rPr>
                <w:rFonts w:ascii="Times New Roman" w:hAnsi="Times New Roman"/>
                <w:b/>
                <w:color w:val="FFFFFF"/>
                <w:sz w:val="18"/>
                <w:rFonts w:eastAsia="SimHei"/>
              </w:rPr>
              <w:t>Asset Type</w:t>
            </w:r>
          </w:p>
        </w:tc>
        <w:tc>
          <w:tcPr>
            <w:tcW w:type="dxa" w:w="3685"/>
            <w:shd w:fill="2C2C3A" w:val="clear"/>
          </w:tcPr>
          <w:p>
            <w:pPr>
              <w:jc w:val="center"/>
            </w:pPr>
            <w:r/>
            <w:r>
              <w:rPr>
                <w:rFonts w:ascii="Times New Roman" w:hAnsi="Times New Roman"/>
                <w:b/>
                <w:color w:val="FFFFFF"/>
                <w:sz w:val="18"/>
                <w:rFonts w:eastAsia="SimHei"/>
              </w:rPr>
              <w:t>Selection Criteria</w:t>
            </w:r>
          </w:p>
        </w:tc>
        <w:tc>
          <w:tcPr>
            <w:tcW w:type="dxa" w:w="1984"/>
            <w:shd w:fill="2C2C3A" w:val="clear"/>
          </w:tcPr>
          <w:p>
            <w:pPr>
              <w:jc w:val="center"/>
            </w:pPr>
            <w:r/>
            <w:r>
              <w:rPr>
                <w:rFonts w:ascii="Times New Roman" w:hAnsi="Times New Roman"/>
                <w:b/>
                <w:color w:val="FFFFFF"/>
                <w:sz w:val="18"/>
                <w:rFonts w:eastAsia="SimHei"/>
              </w:rPr>
              <w:t>Deal Size</w:t>
            </w:r>
          </w:p>
        </w:tc>
        <w:tc>
          <w:tcPr>
            <w:tcW w:type="dxa" w:w="1984"/>
            <w:shd w:fill="2C2C3A" w:val="clear"/>
          </w:tcPr>
          <w:p>
            <w:pPr>
              <w:jc w:val="center"/>
            </w:pPr>
            <w:r/>
            <w:r>
              <w:rPr>
                <w:rFonts w:ascii="Times New Roman" w:hAnsi="Times New Roman"/>
                <w:b/>
                <w:color w:val="FFFFFF"/>
                <w:sz w:val="18"/>
                <w:rFonts w:eastAsia="SimHei"/>
              </w:rPr>
              <w:t>Target Volume</w:t>
            </w:r>
          </w:p>
        </w:tc>
      </w:tr>
      <w:tr>
        <w:tc>
          <w:tcPr>
            <w:tcW w:type="dxa" w:w="1701"/>
          </w:tcPr>
          <w:p>
            <w:r/>
            <w:r>
              <w:rPr>
                <w:rFonts w:ascii="Times New Roman" w:hAnsi="Times New Roman"/>
                <w:color w:val="2D2D2D"/>
                <w:sz w:val="18"/>
                <w:rFonts w:eastAsia="SimSun"/>
              </w:rPr>
              <w:t>Mines</w:t>
            </w:r>
          </w:p>
        </w:tc>
        <w:tc>
          <w:tcPr>
            <w:tcW w:type="dxa" w:w="3685"/>
          </w:tcPr>
          <w:p>
            <w:pPr>
              <w:jc w:val="right"/>
            </w:pPr>
            <w:r/>
            <w:r>
              <w:rPr>
                <w:rFonts w:ascii="Times New Roman" w:hAnsi="Times New Roman"/>
                <w:color w:val="2D2D2D"/>
                <w:sz w:val="18"/>
                <w:rFonts w:eastAsia="SimSun"/>
              </w:rPr>
              <w:t>Fully permitted, capital-starved; lithium/gold/copper/REE prioritized</w:t>
            </w:r>
          </w:p>
        </w:tc>
        <w:tc>
          <w:tcPr>
            <w:tcW w:type="dxa" w:w="1984"/>
          </w:tcPr>
          <w:p>
            <w:pPr>
              <w:jc w:val="right"/>
            </w:pPr>
            <w:r/>
            <w:r>
              <w:rPr>
                <w:rFonts w:ascii="Times New Roman" w:hAnsi="Times New Roman"/>
                <w:color w:val="2D2D2D"/>
                <w:sz w:val="18"/>
                <w:rFonts w:eastAsia="SimSun"/>
              </w:rPr>
              <w:t>$50M–$500M</w:t>
            </w:r>
          </w:p>
        </w:tc>
        <w:tc>
          <w:tcPr>
            <w:tcW w:type="dxa" w:w="1984"/>
          </w:tcPr>
          <w:p>
            <w:pPr>
              <w:jc w:val="right"/>
            </w:pPr>
            <w:r/>
            <w:r>
              <w:rPr>
                <w:rFonts w:ascii="Times New Roman" w:hAnsi="Times New Roman"/>
                <w:color w:val="2D2D2D"/>
                <w:sz w:val="18"/>
                <w:rFonts w:eastAsia="SimSun"/>
              </w:rPr>
              <w:t>50–100 mines</w:t>
            </w:r>
          </w:p>
        </w:tc>
      </w:tr>
      <w:tr>
        <w:tc>
          <w:tcPr>
            <w:tcW w:type="dxa" w:w="1701"/>
            <w:shd w:fill="F8F6F0" w:val="clear"/>
          </w:tcPr>
          <w:p>
            <w:r/>
            <w:r>
              <w:rPr>
                <w:rFonts w:ascii="Times New Roman" w:hAnsi="Times New Roman"/>
                <w:color w:val="2D2D2D"/>
                <w:sz w:val="18"/>
                <w:rFonts w:eastAsia="SimSun"/>
              </w:rPr>
              <w:t>Energy Assets</w:t>
            </w:r>
          </w:p>
        </w:tc>
        <w:tc>
          <w:tcPr>
            <w:tcW w:type="dxa" w:w="3685"/>
            <w:shd w:fill="F8F6F0" w:val="clear"/>
          </w:tcPr>
          <w:p>
            <w:pPr>
              <w:jc w:val="right"/>
            </w:pPr>
            <w:r/>
            <w:r>
              <w:rPr>
                <w:rFonts w:ascii="Times New Roman" w:hAnsi="Times New Roman"/>
                <w:color w:val="2D2D2D"/>
                <w:sz w:val="18"/>
                <w:rFonts w:eastAsia="SimSun"/>
              </w:rPr>
              <w:t>Grid-connected income or PPA in place; hydro/storage/geothermal</w:t>
            </w:r>
          </w:p>
        </w:tc>
        <w:tc>
          <w:tcPr>
            <w:tcW w:type="dxa" w:w="1984"/>
            <w:shd w:fill="F8F6F0" w:val="clear"/>
          </w:tcPr>
          <w:p>
            <w:pPr>
              <w:jc w:val="right"/>
            </w:pPr>
            <w:r/>
            <w:r>
              <w:rPr>
                <w:rFonts w:ascii="Times New Roman" w:hAnsi="Times New Roman"/>
                <w:color w:val="2D2D2D"/>
                <w:sz w:val="18"/>
                <w:rFonts w:eastAsia="SimSun"/>
              </w:rPr>
              <w:t>$100M–$300M</w:t>
            </w:r>
          </w:p>
        </w:tc>
        <w:tc>
          <w:tcPr>
            <w:tcW w:type="dxa" w:w="1984"/>
            <w:shd w:fill="F8F6F0" w:val="clear"/>
          </w:tcPr>
          <w:p>
            <w:pPr>
              <w:jc w:val="right"/>
            </w:pPr>
            <w:r/>
            <w:r>
              <w:rPr>
                <w:rFonts w:ascii="Times New Roman" w:hAnsi="Times New Roman"/>
                <w:color w:val="2D2D2D"/>
                <w:sz w:val="18"/>
                <w:rFonts w:eastAsia="SimSun"/>
              </w:rPr>
              <w:t>30–50 assets</w:t>
            </w:r>
          </w:p>
        </w:tc>
      </w:tr>
      <w:tr>
        <w:tc>
          <w:tcPr>
            <w:tcW w:type="dxa" w:w="1701"/>
          </w:tcPr>
          <w:p>
            <w:r/>
            <w:r>
              <w:rPr>
                <w:rFonts w:ascii="Times New Roman" w:hAnsi="Times New Roman"/>
                <w:color w:val="2D2D2D"/>
                <w:sz w:val="18"/>
                <w:rFonts w:eastAsia="SimSun"/>
              </w:rPr>
              <w:t>Commercial Real Estate</w:t>
            </w:r>
          </w:p>
        </w:tc>
        <w:tc>
          <w:tcPr>
            <w:tcW w:type="dxa" w:w="3685"/>
          </w:tcPr>
          <w:p>
            <w:pPr>
              <w:jc w:val="right"/>
            </w:pPr>
            <w:r/>
            <w:r>
              <w:rPr>
                <w:rFonts w:ascii="Times New Roman" w:hAnsi="Times New Roman"/>
                <w:color w:val="2D2D2D"/>
                <w:sz w:val="18"/>
                <w:rFonts w:eastAsia="SimSun"/>
              </w:rPr>
              <w:t>Community retail; stable rent roll; clear title</w:t>
            </w:r>
          </w:p>
        </w:tc>
        <w:tc>
          <w:tcPr>
            <w:tcW w:type="dxa" w:w="1984"/>
          </w:tcPr>
          <w:p>
            <w:pPr>
              <w:jc w:val="right"/>
            </w:pPr>
            <w:r/>
            <w:r>
              <w:rPr>
                <w:rFonts w:ascii="Times New Roman" w:hAnsi="Times New Roman"/>
                <w:color w:val="2D2D2D"/>
                <w:sz w:val="18"/>
                <w:rFonts w:eastAsia="SimSun"/>
              </w:rPr>
              <w:t>$10M–$100M</w:t>
            </w:r>
          </w:p>
        </w:tc>
        <w:tc>
          <w:tcPr>
            <w:tcW w:type="dxa" w:w="1984"/>
          </w:tcPr>
          <w:p>
            <w:pPr>
              <w:jc w:val="right"/>
            </w:pPr>
            <w:r/>
            <w:r>
              <w:rPr>
                <w:rFonts w:ascii="Times New Roman" w:hAnsi="Times New Roman"/>
                <w:color w:val="2D2D2D"/>
                <w:sz w:val="18"/>
                <w:rFonts w:eastAsia="SimSun"/>
              </w:rPr>
              <w:t>100–200 properties</w:t>
            </w:r>
          </w:p>
        </w:tc>
      </w:tr>
      <w:tr>
        <w:tc>
          <w:tcPr>
            <w:tcW w:type="dxa" w:w="1701"/>
            <w:shd w:fill="F8F6F0" w:val="clear"/>
          </w:tcPr>
          <w:p>
            <w:r/>
            <w:r>
              <w:rPr>
                <w:rFonts w:ascii="Times New Roman" w:hAnsi="Times New Roman"/>
                <w:color w:val="2D2D2D"/>
                <w:sz w:val="18"/>
                <w:rFonts w:eastAsia="SimSun"/>
              </w:rPr>
              <w:t>Logistics &amp; Warehousing</w:t>
            </w:r>
          </w:p>
        </w:tc>
        <w:tc>
          <w:tcPr>
            <w:tcW w:type="dxa" w:w="3685"/>
            <w:shd w:fill="F8F6F0" w:val="clear"/>
          </w:tcPr>
          <w:p>
            <w:pPr>
              <w:jc w:val="right"/>
            </w:pPr>
            <w:r/>
            <w:r>
              <w:rPr>
                <w:rFonts w:ascii="Times New Roman" w:hAnsi="Times New Roman"/>
                <w:color w:val="2D2D2D"/>
                <w:sz w:val="18"/>
                <w:rFonts w:eastAsia="SimSun"/>
              </w:rPr>
              <w:t>Near major cities; value-add potential</w:t>
            </w:r>
          </w:p>
        </w:tc>
        <w:tc>
          <w:tcPr>
            <w:tcW w:type="dxa" w:w="1984"/>
            <w:shd w:fill="F8F6F0" w:val="clear"/>
          </w:tcPr>
          <w:p>
            <w:pPr>
              <w:jc w:val="right"/>
            </w:pPr>
            <w:r/>
            <w:r>
              <w:rPr>
                <w:rFonts w:ascii="Times New Roman" w:hAnsi="Times New Roman"/>
                <w:color w:val="2D2D2D"/>
                <w:sz w:val="18"/>
                <w:rFonts w:eastAsia="SimSun"/>
              </w:rPr>
              <w:t>$50M–$150M</w:t>
            </w:r>
          </w:p>
        </w:tc>
        <w:tc>
          <w:tcPr>
            <w:tcW w:type="dxa" w:w="1984"/>
            <w:shd w:fill="F8F6F0" w:val="clear"/>
          </w:tcPr>
          <w:p>
            <w:pPr>
              <w:jc w:val="right"/>
            </w:pPr>
            <w:r/>
            <w:r>
              <w:rPr>
                <w:rFonts w:ascii="Times New Roman" w:hAnsi="Times New Roman"/>
                <w:color w:val="2D2D2D"/>
                <w:sz w:val="18"/>
                <w:rFonts w:eastAsia="SimSun"/>
              </w:rPr>
              <w:t>20–30 facilities</w:t>
            </w:r>
          </w:p>
        </w:tc>
      </w:tr>
    </w:tbl>
    <w:p>
      <w:pPr>
        <w:pStyle w:val="Heading2"/>
      </w:pPr>
      <w:r>
        <w:t>7.2  Acquisition Workflow</w:t>
      </w:r>
    </w:p>
    <w:p>
      <w:pPr>
        <w:spacing w:line="360" w:lineRule="auto"/>
      </w:pPr>
      <w:r>
        <w:rPr>
          <w:rFonts w:ascii="Times New Roman" w:hAnsi="Times New Roman"/>
          <w:sz w:val="22"/>
          <w:rFonts w:eastAsia="SimSun"/>
        </w:rPr>
        <w:t>Asset screening → Independent valuation → SPV formation → pGOLD payment → Asset delivery → Operational turnaround → Value restoration → RWA tokenization → Public listing exit. Payment consideration: 50%–70% of independent valuation, paid in pGOLD. Target: asset value restored to 100%+ of valuation within 12–36 months.</w:t>
      </w:r>
    </w:p>
    <w:p>
      <w:r>
        <w:br w:type="page"/>
      </w:r>
    </w:p>
    <w:p>
      <w:pPr>
        <w:spacing w:after="0"/>
      </w:pPr>
      <w:r>
        <w:rPr>
          <w:rFonts w:ascii="Times New Roman" w:hAnsi="Times New Roman"/>
          <w:b/>
          <w:color w:val="D4A853"/>
          <w:sz w:val="22"/>
          <w:rFonts w:eastAsia="SimHei"/>
        </w:rPr>
        <w:t>CHAPTER VIII</w:t>
      </w:r>
    </w:p>
    <w:p>
      <w:pPr>
        <w:pStyle w:val="Heading1"/>
      </w:pPr>
      <w:r>
        <w:t>Capital Markets: RWA Securitization &amp; NASDAQ</w:t>
      </w:r>
    </w:p>
    <w:p>
      <w:pPr>
        <w:pStyle w:val="Heading2"/>
      </w:pPr>
      <w:r>
        <w:t>8.1  RWA Transformation</w:t>
      </w:r>
    </w:p>
    <w:p>
      <w:pPr>
        <w:spacing w:line="360" w:lineRule="auto"/>
      </w:pPr>
      <w:r>
        <w:rPr>
          <w:rFonts w:ascii="Times New Roman" w:hAnsi="Times New Roman"/>
          <w:sz w:val="22"/>
          <w:rFonts w:eastAsia="SimSun"/>
        </w:rPr>
        <w:t>Acquired and refurbished physical assets are tokenized into revenue-rights tokens, enabling global investors to participate in physical asset investment returns on-chain.</w:t>
      </w:r>
    </w:p>
    <w:tbl>
      <w:tblPr>
        <w:tblStyle w:val="TableGrid"/>
        <w:tblW w:type="auto" w:w="0"/>
        <w:jc w:val="center"/>
        <w:tblLook w:firstColumn="1" w:firstRow="1" w:lastColumn="0" w:lastRow="0" w:noHBand="0" w:noVBand="1" w:val="04A0"/>
      </w:tblPr>
      <w:tblGrid>
        <w:gridCol w:w="3009"/>
        <w:gridCol w:w="3009"/>
        <w:gridCol w:w="3009"/>
      </w:tblGrid>
      <w:tr>
        <w:tc>
          <w:tcPr>
            <w:tcW w:type="dxa" w:w="2268"/>
            <w:shd w:fill="2C2C3A" w:val="clear"/>
          </w:tcPr>
          <w:p>
            <w:pPr>
              <w:jc w:val="center"/>
            </w:pPr>
            <w:r/>
            <w:r>
              <w:rPr>
                <w:rFonts w:ascii="Times New Roman" w:hAnsi="Times New Roman"/>
                <w:b/>
                <w:color w:val="FFFFFF"/>
                <w:sz w:val="18"/>
                <w:rFonts w:eastAsia="SimHei"/>
              </w:rPr>
              <w:t>Asset Type</w:t>
            </w:r>
          </w:p>
        </w:tc>
        <w:tc>
          <w:tcPr>
            <w:tcW w:type="dxa" w:w="3685"/>
            <w:shd w:fill="2C2C3A" w:val="clear"/>
          </w:tcPr>
          <w:p>
            <w:pPr>
              <w:jc w:val="center"/>
            </w:pPr>
            <w:r/>
            <w:r>
              <w:rPr>
                <w:rFonts w:ascii="Times New Roman" w:hAnsi="Times New Roman"/>
                <w:b/>
                <w:color w:val="FFFFFF"/>
                <w:sz w:val="18"/>
                <w:rFonts w:eastAsia="SimHei"/>
              </w:rPr>
              <w:t>RWA Method</w:t>
            </w:r>
          </w:p>
        </w:tc>
        <w:tc>
          <w:tcPr>
            <w:tcW w:type="dxa" w:w="3402"/>
            <w:shd w:fill="2C2C3A" w:val="clear"/>
          </w:tcPr>
          <w:p>
            <w:pPr>
              <w:jc w:val="center"/>
            </w:pPr>
            <w:r/>
            <w:r>
              <w:rPr>
                <w:rFonts w:ascii="Times New Roman" w:hAnsi="Times New Roman"/>
                <w:b/>
                <w:color w:val="FFFFFF"/>
                <w:sz w:val="18"/>
                <w:rFonts w:eastAsia="SimHei"/>
              </w:rPr>
              <w:t>Comparable Product</w:t>
            </w:r>
          </w:p>
        </w:tc>
      </w:tr>
      <w:tr>
        <w:tc>
          <w:tcPr>
            <w:tcW w:type="dxa" w:w="2268"/>
          </w:tcPr>
          <w:p>
            <w:r/>
            <w:r>
              <w:rPr>
                <w:rFonts w:ascii="Times New Roman" w:hAnsi="Times New Roman"/>
                <w:color w:val="2D2D2D"/>
                <w:sz w:val="18"/>
                <w:rFonts w:eastAsia="SimSun"/>
              </w:rPr>
              <w:t>Lithium / Gold Mine</w:t>
            </w:r>
          </w:p>
        </w:tc>
        <w:tc>
          <w:tcPr>
            <w:tcW w:type="dxa" w:w="3685"/>
          </w:tcPr>
          <w:p>
            <w:pPr>
              <w:jc w:val="right"/>
            </w:pPr>
            <w:r/>
            <w:r>
              <w:rPr>
                <w:rFonts w:ascii="Times New Roman" w:hAnsi="Times New Roman"/>
                <w:color w:val="2D2D2D"/>
                <w:sz w:val="18"/>
                <w:rFonts w:eastAsia="SimSun"/>
              </w:rPr>
              <w:t>Future 10-year mineral output revenue rights</w:t>
            </w:r>
          </w:p>
        </w:tc>
        <w:tc>
          <w:tcPr>
            <w:tcW w:type="dxa" w:w="3402"/>
          </w:tcPr>
          <w:p>
            <w:pPr>
              <w:jc w:val="right"/>
            </w:pPr>
            <w:r/>
            <w:r>
              <w:rPr>
                <w:rFonts w:ascii="Times New Roman" w:hAnsi="Times New Roman"/>
                <w:color w:val="2D2D2D"/>
                <w:sz w:val="18"/>
                <w:rFonts w:eastAsia="SimSun"/>
              </w:rPr>
              <w:t>Commodity-linked securities</w:t>
            </w:r>
          </w:p>
        </w:tc>
      </w:tr>
      <w:tr>
        <w:tc>
          <w:tcPr>
            <w:tcW w:type="dxa" w:w="2268"/>
            <w:shd w:fill="F8F6F0" w:val="clear"/>
          </w:tcPr>
          <w:p>
            <w:r/>
            <w:r>
              <w:rPr>
                <w:rFonts w:ascii="Times New Roman" w:hAnsi="Times New Roman"/>
                <w:color w:val="2D2D2D"/>
                <w:sz w:val="18"/>
                <w:rFonts w:eastAsia="SimSun"/>
              </w:rPr>
              <w:t>Energy Storage</w:t>
            </w:r>
          </w:p>
        </w:tc>
        <w:tc>
          <w:tcPr>
            <w:tcW w:type="dxa" w:w="3685"/>
            <w:shd w:fill="F8F6F0" w:val="clear"/>
          </w:tcPr>
          <w:p>
            <w:pPr>
              <w:jc w:val="right"/>
            </w:pPr>
            <w:r/>
            <w:r>
              <w:rPr>
                <w:rFonts w:ascii="Times New Roman" w:hAnsi="Times New Roman"/>
                <w:color w:val="2D2D2D"/>
                <w:sz w:val="18"/>
                <w:rFonts w:eastAsia="SimSun"/>
              </w:rPr>
              <w:t>PPA future revenue streams packaged</w:t>
            </w:r>
          </w:p>
        </w:tc>
        <w:tc>
          <w:tcPr>
            <w:tcW w:type="dxa" w:w="3402"/>
            <w:shd w:fill="F8F6F0" w:val="clear"/>
          </w:tcPr>
          <w:p>
            <w:pPr>
              <w:jc w:val="right"/>
            </w:pPr>
            <w:r/>
            <w:r>
              <w:rPr>
                <w:rFonts w:ascii="Times New Roman" w:hAnsi="Times New Roman"/>
                <w:color w:val="2D2D2D"/>
                <w:sz w:val="18"/>
                <w:rFonts w:eastAsia="SimSun"/>
              </w:rPr>
              <w:t>Infrastructure REITs</w:t>
            </w:r>
          </w:p>
        </w:tc>
      </w:tr>
      <w:tr>
        <w:tc>
          <w:tcPr>
            <w:tcW w:type="dxa" w:w="2268"/>
          </w:tcPr>
          <w:p>
            <w:r/>
            <w:r>
              <w:rPr>
                <w:rFonts w:ascii="Times New Roman" w:hAnsi="Times New Roman"/>
                <w:color w:val="2D2D2D"/>
                <w:sz w:val="18"/>
                <w:rFonts w:eastAsia="SimSun"/>
              </w:rPr>
              <w:t>Commercial Real Estate</w:t>
            </w:r>
          </w:p>
        </w:tc>
        <w:tc>
          <w:tcPr>
            <w:tcW w:type="dxa" w:w="3685"/>
          </w:tcPr>
          <w:p>
            <w:pPr>
              <w:jc w:val="right"/>
            </w:pPr>
            <w:r/>
            <w:r>
              <w:rPr>
                <w:rFonts w:ascii="Times New Roman" w:hAnsi="Times New Roman"/>
                <w:color w:val="2D2D2D"/>
                <w:sz w:val="18"/>
                <w:rFonts w:eastAsia="SimSun"/>
              </w:rPr>
              <w:t>Rental income rights fractionalized</w:t>
            </w:r>
          </w:p>
        </w:tc>
        <w:tc>
          <w:tcPr>
            <w:tcW w:type="dxa" w:w="3402"/>
          </w:tcPr>
          <w:p>
            <w:pPr>
              <w:jc w:val="right"/>
            </w:pPr>
            <w:r/>
            <w:r>
              <w:rPr>
                <w:rFonts w:ascii="Times New Roman" w:hAnsi="Times New Roman"/>
                <w:color w:val="2D2D2D"/>
                <w:sz w:val="18"/>
                <w:rFonts w:eastAsia="SimSun"/>
              </w:rPr>
              <w:t>Commercial REITs</w:t>
            </w:r>
          </w:p>
        </w:tc>
      </w:tr>
      <w:tr>
        <w:tc>
          <w:tcPr>
            <w:tcW w:type="dxa" w:w="2268"/>
            <w:shd w:fill="F8F6F0" w:val="clear"/>
          </w:tcPr>
          <w:p>
            <w:r/>
            <w:r>
              <w:rPr>
                <w:rFonts w:ascii="Times New Roman" w:hAnsi="Times New Roman"/>
                <w:color w:val="2D2D2D"/>
                <w:sz w:val="18"/>
                <w:rFonts w:eastAsia="SimSun"/>
              </w:rPr>
              <w:t>Logistics &amp; Warehousing</w:t>
            </w:r>
          </w:p>
        </w:tc>
        <w:tc>
          <w:tcPr>
            <w:tcW w:type="dxa" w:w="3685"/>
            <w:shd w:fill="F8F6F0" w:val="clear"/>
          </w:tcPr>
          <w:p>
            <w:pPr>
              <w:jc w:val="right"/>
            </w:pPr>
            <w:r/>
            <w:r>
              <w:rPr>
                <w:rFonts w:ascii="Times New Roman" w:hAnsi="Times New Roman"/>
                <w:color w:val="2D2D2D"/>
                <w:sz w:val="18"/>
                <w:rFonts w:eastAsia="SimSun"/>
              </w:rPr>
              <w:t>Storage fees + property appreciation rights</w:t>
            </w:r>
          </w:p>
        </w:tc>
        <w:tc>
          <w:tcPr>
            <w:tcW w:type="dxa" w:w="3402"/>
            <w:shd w:fill="F8F6F0" w:val="clear"/>
          </w:tcPr>
          <w:p>
            <w:pPr>
              <w:jc w:val="right"/>
            </w:pPr>
            <w:r/>
            <w:r>
              <w:rPr>
                <w:rFonts w:ascii="Times New Roman" w:hAnsi="Times New Roman"/>
                <w:color w:val="2D2D2D"/>
                <w:sz w:val="18"/>
                <w:rFonts w:eastAsia="SimSun"/>
              </w:rPr>
              <w:t>Logistics REITs</w:t>
            </w:r>
          </w:p>
        </w:tc>
      </w:tr>
    </w:tbl>
    <w:p>
      <w:pPr>
        <w:pStyle w:val="Heading2"/>
      </w:pPr>
      <w:r>
        <w:t>8.2  NASDAQ Listing Pathways</w:t>
      </w:r>
    </w:p>
    <w:tbl>
      <w:tblPr>
        <w:tblStyle w:val="TableGrid"/>
        <w:tblW w:type="auto" w:w="0"/>
        <w:jc w:val="center"/>
        <w:tblLook w:firstColumn="1" w:firstRow="1" w:lastColumn="0" w:lastRow="0" w:noHBand="0" w:noVBand="1" w:val="04A0"/>
      </w:tblPr>
      <w:tblGrid>
        <w:gridCol w:w="3009"/>
        <w:gridCol w:w="3009"/>
        <w:gridCol w:w="3009"/>
      </w:tblGrid>
      <w:tr>
        <w:tc>
          <w:tcPr>
            <w:tcW w:type="dxa" w:w="1984"/>
            <w:shd w:fill="2C2C3A" w:val="clear"/>
          </w:tcPr>
          <w:p>
            <w:pPr>
              <w:jc w:val="center"/>
            </w:pPr>
            <w:r/>
            <w:r>
              <w:rPr>
                <w:rFonts w:ascii="Times New Roman" w:hAnsi="Times New Roman"/>
                <w:b/>
                <w:color w:val="FFFFFF"/>
                <w:sz w:val="18"/>
                <w:rFonts w:eastAsia="SimHei"/>
              </w:rPr>
              <w:t>Pathway</w:t>
            </w:r>
          </w:p>
        </w:tc>
        <w:tc>
          <w:tcPr>
            <w:tcW w:type="dxa" w:w="1984"/>
            <w:shd w:fill="2C2C3A" w:val="clear"/>
          </w:tcPr>
          <w:p>
            <w:pPr>
              <w:jc w:val="center"/>
            </w:pPr>
            <w:r/>
            <w:r>
              <w:rPr>
                <w:rFonts w:ascii="Times New Roman" w:hAnsi="Times New Roman"/>
                <w:b/>
                <w:color w:val="FFFFFF"/>
                <w:sz w:val="18"/>
                <w:rFonts w:eastAsia="SimHei"/>
              </w:rPr>
              <w:t>Timeline</w:t>
            </w:r>
          </w:p>
        </w:tc>
        <w:tc>
          <w:tcPr>
            <w:tcW w:type="dxa" w:w="5386"/>
            <w:shd w:fill="2C2C3A" w:val="clear"/>
          </w:tcPr>
          <w:p>
            <w:pPr>
              <w:jc w:val="center"/>
            </w:pPr>
            <w:r/>
            <w:r>
              <w:rPr>
                <w:rFonts w:ascii="Times New Roman" w:hAnsi="Times New Roman"/>
                <w:b/>
                <w:color w:val="FFFFFF"/>
                <w:sz w:val="18"/>
                <w:rFonts w:eastAsia="SimHei"/>
              </w:rPr>
              <w:t>Process</w:t>
            </w:r>
          </w:p>
        </w:tc>
      </w:tr>
      <w:tr>
        <w:tc>
          <w:tcPr>
            <w:tcW w:type="dxa" w:w="1984"/>
          </w:tcPr>
          <w:p>
            <w:r/>
            <w:r>
              <w:rPr>
                <w:rFonts w:ascii="Times New Roman" w:hAnsi="Times New Roman"/>
                <w:color w:val="2D2D2D"/>
                <w:sz w:val="18"/>
                <w:rFonts w:eastAsia="SimSun"/>
              </w:rPr>
              <w:t>Path A: SPAC</w:t>
            </w:r>
          </w:p>
        </w:tc>
        <w:tc>
          <w:tcPr>
            <w:tcW w:type="dxa" w:w="1984"/>
          </w:tcPr>
          <w:p>
            <w:pPr>
              <w:jc w:val="right"/>
            </w:pPr>
            <w:r/>
            <w:r>
              <w:rPr>
                <w:rFonts w:ascii="Times New Roman" w:hAnsi="Times New Roman"/>
                <w:color w:val="2D2D2D"/>
                <w:sz w:val="18"/>
                <w:rFonts w:eastAsia="SimSun"/>
              </w:rPr>
              <w:t>18–24 months</w:t>
            </w:r>
          </w:p>
        </w:tc>
        <w:tc>
          <w:tcPr>
            <w:tcW w:type="dxa" w:w="5386"/>
          </w:tcPr>
          <w:p>
            <w:pPr>
              <w:jc w:val="right"/>
            </w:pPr>
            <w:r/>
            <w:r>
              <w:rPr>
                <w:rFonts w:ascii="Times New Roman" w:hAnsi="Times New Roman"/>
                <w:color w:val="2D2D2D"/>
                <w:sz w:val="18"/>
                <w:rFonts w:eastAsia="SimSun"/>
              </w:rPr>
              <w:t>Register SPAC shell → SPAC IPO → Acquire RWA asset portfolio → Reverse merger listing</w:t>
            </w:r>
          </w:p>
        </w:tc>
      </w:tr>
      <w:tr>
        <w:tc>
          <w:tcPr>
            <w:tcW w:type="dxa" w:w="1984"/>
            <w:shd w:fill="F8F6F0" w:val="clear"/>
          </w:tcPr>
          <w:p>
            <w:r/>
            <w:r>
              <w:rPr>
                <w:rFonts w:ascii="Times New Roman" w:hAnsi="Times New Roman"/>
                <w:color w:val="2D2D2D"/>
                <w:sz w:val="18"/>
                <w:rFonts w:eastAsia="SimSun"/>
              </w:rPr>
              <w:t>Path B: Traditional IPO</w:t>
            </w:r>
          </w:p>
        </w:tc>
        <w:tc>
          <w:tcPr>
            <w:tcW w:type="dxa" w:w="1984"/>
            <w:shd w:fill="F8F6F0" w:val="clear"/>
          </w:tcPr>
          <w:p>
            <w:pPr>
              <w:jc w:val="right"/>
            </w:pPr>
            <w:r/>
            <w:r>
              <w:rPr>
                <w:rFonts w:ascii="Times New Roman" w:hAnsi="Times New Roman"/>
                <w:color w:val="2D2D2D"/>
                <w:sz w:val="18"/>
                <w:rFonts w:eastAsia="SimSun"/>
              </w:rPr>
              <w:t>24–36 months</w:t>
            </w:r>
          </w:p>
        </w:tc>
        <w:tc>
          <w:tcPr>
            <w:tcW w:type="dxa" w:w="5386"/>
            <w:shd w:fill="F8F6F0" w:val="clear"/>
          </w:tcPr>
          <w:p>
            <w:pPr>
              <w:jc w:val="right"/>
            </w:pPr>
            <w:r/>
            <w:r>
              <w:rPr>
                <w:rFonts w:ascii="Times New Roman" w:hAnsi="Times New Roman"/>
                <w:color w:val="2D2D2D"/>
                <w:sz w:val="18"/>
                <w:rFonts w:eastAsia="SimSun"/>
              </w:rPr>
              <w:t>Asset-packaged holding company → Financial benchmarks met → Underwriter S-1 → IPO pricing &amp; distribution</w:t>
            </w:r>
          </w:p>
        </w:tc>
      </w:tr>
      <w:tr>
        <w:tc>
          <w:tcPr>
            <w:tcW w:type="dxa" w:w="1984"/>
          </w:tcPr>
          <w:p>
            <w:r/>
            <w:r>
              <w:rPr>
                <w:rFonts w:ascii="Times New Roman" w:hAnsi="Times New Roman"/>
                <w:color w:val="2D2D2D"/>
                <w:sz w:val="18"/>
                <w:rFonts w:eastAsia="SimSun"/>
              </w:rPr>
              <w:t>Spin-off Listing</w:t>
            </w:r>
          </w:p>
        </w:tc>
        <w:tc>
          <w:tcPr>
            <w:tcW w:type="dxa" w:w="1984"/>
          </w:tcPr>
          <w:p>
            <w:pPr>
              <w:jc w:val="right"/>
            </w:pPr>
            <w:r/>
            <w:r>
              <w:rPr>
                <w:rFonts w:ascii="Times New Roman" w:hAnsi="Times New Roman"/>
                <w:color w:val="2D2D2D"/>
                <w:sz w:val="18"/>
                <w:rFonts w:eastAsia="SimSun"/>
              </w:rPr>
              <w:t>By sector</w:t>
            </w:r>
          </w:p>
        </w:tc>
        <w:tc>
          <w:tcPr>
            <w:tcW w:type="dxa" w:w="5386"/>
          </w:tcPr>
          <w:p>
            <w:pPr>
              <w:jc w:val="right"/>
            </w:pPr>
            <w:r/>
            <w:r>
              <w:rPr>
                <w:rFonts w:ascii="Times New Roman" w:hAnsi="Times New Roman"/>
                <w:color w:val="2D2D2D"/>
                <w:sz w:val="18"/>
                <w:rFonts w:eastAsia="SimSun"/>
              </w:rPr>
              <w:t>Mining Co: $10–30B; Energy Infra: $5–15B; Gold Reserve: $20–50B; Property Trust: $5–10B</w:t>
            </w:r>
          </w:p>
        </w:tc>
      </w:tr>
    </w:tbl>
    <w:p>
      <w:r>
        <w:br w:type="page"/>
      </w:r>
    </w:p>
    <w:p>
      <w:pPr>
        <w:spacing w:after="0"/>
      </w:pPr>
      <w:r>
        <w:rPr>
          <w:rFonts w:ascii="Times New Roman" w:hAnsi="Times New Roman"/>
          <w:b/>
          <w:color w:val="D4A853"/>
          <w:sz w:val="22"/>
          <w:rFonts w:eastAsia="SimHei"/>
        </w:rPr>
        <w:t>CHAPTER IX</w:t>
      </w:r>
    </w:p>
    <w:p>
      <w:pPr>
        <w:pStyle w:val="Heading1"/>
      </w:pPr>
      <w:r>
        <w:t>Value Flywheel: Path to Trillion-Dollar Valuation</w:t>
      </w:r>
    </w:p>
    <w:p>
      <w:pPr>
        <w:pStyle w:val="Heading2"/>
      </w:pPr>
      <w:r>
        <w:t>9.1  Three-Layer Value Stacking</w:t>
      </w:r>
    </w:p>
    <w:p>
      <w:pPr>
        <w:spacing w:before="160" w:after="160"/>
        <w:ind w:left="283"/>
        <w:pBdr>
          <w:top w:val="single" w:sz="4" w:space="4" w:color="D4A853"/>
          <w:left w:val="single" w:sz="4" w:space="4" w:color="D4A853"/>
          <w:bottom w:val="single" w:sz="4" w:space="4" w:color="D4A853"/>
          <w:right w:val="single" w:sz="4" w:space="4" w:color="D4A853"/>
        </w:pBdr>
        <w:shd w:fill="FCF8F0" w:val="clear"/>
      </w:pPr>
      <w:r>
        <w:rPr>
          <w:rFonts w:ascii="Times New Roman" w:hAnsi="Times New Roman"/>
          <w:color w:val="444444"/>
          <w:sz w:val="20"/>
          <w:rFonts w:eastAsia="SimSun"/>
        </w:rPr>
        <w:t>Layer 1 — Trading Infrastructure: pGOLD Trading Platform. Annual volume $3T+; FinTech infrastructure at 30× P/E. Target: $100–200B.</w:t>
        <w:br/>
        <w:br/>
        <w:t>Layer 2 — Asset Management: Global Hard Asset Portfolio. AUM $300B+; Asset manager at 1–1.5× AUM. Target: $300–450B.</w:t>
        <w:br/>
        <w:br/>
        <w:t>Layer 3 — Capital Markets: NASDAQ-Listed Company Matrix. 20+ listed companies; mark-to-market equity holdings. Target: $160–240B.</w:t>
        <w:br/>
        <w:br/>
        <w:t>AGGREGATE: $560–890 billion + brand premium + ecosystem synergy → $1 trillion.</w:t>
      </w:r>
    </w:p>
    <w:p>
      <w:pPr>
        <w:pStyle w:val="Heading2"/>
      </w:pPr>
      <w:r>
        <w:t>9.2  Ecosystem Synergy Flywheel</w:t>
      </w:r>
    </w:p>
    <w:p>
      <w:pPr>
        <w:spacing w:line="360" w:lineRule="auto"/>
      </w:pPr>
      <w:r>
        <w:rPr>
          <w:rFonts w:ascii="Times New Roman" w:hAnsi="Times New Roman"/>
          <w:sz w:val="22"/>
          <w:rFonts w:eastAsia="SimSun"/>
        </w:rPr>
        <w:t>Higher pGOLD trading volume → Asset holders more willing to accept pGOLD → Easier to acquire assets at discount → More assets under management → Stronger implicit backing for pGOLD → More users hold and trade pGOLD → More merchants settle in pGOLD → Deeper market → Better trading experience → More traders join → Listed company profits flow back → Purchase more gold → Expand reserves → Acquire more assets.</w:t>
      </w:r>
    </w:p>
    <w:p>
      <w:pPr>
        <w:pStyle w:val="Heading2"/>
      </w:pPr>
      <w:r>
        <w:t>9.3  10-Year Comprehensive Valuation Trajectory</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c>
          <w:tcPr>
            <w:tcW w:type="dxa" w:w="1134"/>
            <w:shd w:fill="2C2C3A" w:val="clear"/>
          </w:tcPr>
          <w:p>
            <w:pPr>
              <w:jc w:val="center"/>
            </w:pPr>
            <w:r/>
            <w:r>
              <w:rPr>
                <w:rFonts w:ascii="Times New Roman" w:hAnsi="Times New Roman"/>
                <w:b/>
                <w:color w:val="FFFFFF"/>
                <w:sz w:val="18"/>
                <w:rFonts w:eastAsia="SimHei"/>
              </w:rPr>
              <w:t>Year</w:t>
            </w:r>
          </w:p>
        </w:tc>
        <w:tc>
          <w:tcPr>
            <w:tcW w:type="dxa" w:w="1701"/>
            <w:shd w:fill="2C2C3A" w:val="clear"/>
          </w:tcPr>
          <w:p>
            <w:pPr>
              <w:jc w:val="center"/>
            </w:pPr>
            <w:r/>
            <w:r>
              <w:rPr>
                <w:rFonts w:ascii="Times New Roman" w:hAnsi="Times New Roman"/>
                <w:b/>
                <w:color w:val="FFFFFF"/>
                <w:sz w:val="18"/>
                <w:rFonts w:eastAsia="SimHei"/>
              </w:rPr>
              <w:t>Trading Engine</w:t>
            </w:r>
          </w:p>
        </w:tc>
        <w:tc>
          <w:tcPr>
            <w:tcW w:type="dxa" w:w="1701"/>
            <w:shd w:fill="2C2C3A" w:val="clear"/>
          </w:tcPr>
          <w:p>
            <w:pPr>
              <w:jc w:val="center"/>
            </w:pPr>
            <w:r/>
            <w:r>
              <w:rPr>
                <w:rFonts w:ascii="Times New Roman" w:hAnsi="Times New Roman"/>
                <w:b/>
                <w:color w:val="FFFFFF"/>
                <w:sz w:val="18"/>
                <w:rFonts w:eastAsia="SimHei"/>
              </w:rPr>
              <w:t>Payment Engine</w:t>
            </w:r>
          </w:p>
        </w:tc>
        <w:tc>
          <w:tcPr>
            <w:tcW w:type="dxa" w:w="1701"/>
            <w:shd w:fill="2C2C3A" w:val="clear"/>
          </w:tcPr>
          <w:p>
            <w:pPr>
              <w:jc w:val="center"/>
            </w:pPr>
            <w:r/>
            <w:r>
              <w:rPr>
                <w:rFonts w:ascii="Times New Roman" w:hAnsi="Times New Roman"/>
                <w:b/>
                <w:color w:val="FFFFFF"/>
                <w:sz w:val="18"/>
                <w:rFonts w:eastAsia="SimHei"/>
              </w:rPr>
              <w:t>Asset Engine</w:t>
            </w:r>
          </w:p>
        </w:tc>
        <w:tc>
          <w:tcPr>
            <w:tcW w:type="dxa" w:w="1701"/>
            <w:shd w:fill="2C2C3A" w:val="clear"/>
          </w:tcPr>
          <w:p>
            <w:pPr>
              <w:jc w:val="center"/>
            </w:pPr>
            <w:r/>
            <w:r>
              <w:rPr>
                <w:rFonts w:ascii="Times New Roman" w:hAnsi="Times New Roman"/>
                <w:b/>
                <w:color w:val="FFFFFF"/>
                <w:sz w:val="18"/>
                <w:rFonts w:eastAsia="SimHei"/>
              </w:rPr>
              <w:t>Listing Engine</w:t>
            </w:r>
          </w:p>
        </w:tc>
        <w:tc>
          <w:tcPr>
            <w:tcW w:type="dxa" w:w="1701"/>
            <w:shd w:fill="2C2C3A" w:val="clear"/>
          </w:tcPr>
          <w:p>
            <w:pPr>
              <w:jc w:val="center"/>
            </w:pPr>
            <w:r/>
            <w:r>
              <w:rPr>
                <w:rFonts w:ascii="Times New Roman" w:hAnsi="Times New Roman"/>
                <w:b/>
                <w:color w:val="FFFFFF"/>
                <w:sz w:val="18"/>
                <w:rFonts w:eastAsia="SimHei"/>
              </w:rPr>
              <w:t>Aggregate Valuation</w:t>
            </w:r>
          </w:p>
        </w:tc>
      </w:tr>
      <w:tr>
        <w:tc>
          <w:tcPr>
            <w:tcW w:type="dxa" w:w="1134"/>
          </w:tcPr>
          <w:p>
            <w:r/>
            <w:r>
              <w:rPr>
                <w:rFonts w:ascii="Times New Roman" w:hAnsi="Times New Roman"/>
                <w:color w:val="2D2D2D"/>
                <w:sz w:val="18"/>
                <w:rFonts w:eastAsia="SimSun"/>
              </w:rPr>
              <w:t>Year 1</w:t>
            </w:r>
          </w:p>
        </w:tc>
        <w:tc>
          <w:tcPr>
            <w:tcW w:type="dxa" w:w="1701"/>
          </w:tcPr>
          <w:p>
            <w:pPr>
              <w:jc w:val="right"/>
            </w:pPr>
            <w:r/>
            <w:r>
              <w:rPr>
                <w:rFonts w:ascii="Times New Roman" w:hAnsi="Times New Roman"/>
                <w:color w:val="2D2D2D"/>
                <w:sz w:val="18"/>
                <w:rFonts w:eastAsia="SimSun"/>
              </w:rPr>
              <w:t>$0.1–0.2B</w:t>
            </w:r>
          </w:p>
        </w:tc>
        <w:tc>
          <w:tcPr>
            <w:tcW w:type="dxa" w:w="1701"/>
          </w:tcPr>
          <w:p>
            <w:pPr>
              <w:jc w:val="right"/>
            </w:pPr>
            <w:r/>
            <w:r>
              <w:rPr>
                <w:rFonts w:ascii="Times New Roman" w:hAnsi="Times New Roman"/>
                <w:color w:val="2D2D2D"/>
                <w:sz w:val="18"/>
                <w:rFonts w:eastAsia="SimSun"/>
              </w:rPr>
              <w:t>$0.05B</w:t>
            </w:r>
          </w:p>
        </w:tc>
        <w:tc>
          <w:tcPr>
            <w:tcW w:type="dxa" w:w="1701"/>
          </w:tcPr>
          <w:p>
            <w:pPr>
              <w:jc w:val="right"/>
            </w:pPr>
            <w:r/>
            <w:r>
              <w:rPr>
                <w:rFonts w:ascii="Times New Roman" w:hAnsi="Times New Roman"/>
                <w:color w:val="2D2D2D"/>
                <w:sz w:val="18"/>
                <w:rFonts w:eastAsia="SimSun"/>
              </w:rPr>
              <w:t>—</w:t>
            </w:r>
          </w:p>
        </w:tc>
        <w:tc>
          <w:tcPr>
            <w:tcW w:type="dxa" w:w="1701"/>
          </w:tcPr>
          <w:p>
            <w:pPr>
              <w:jc w:val="right"/>
            </w:pPr>
            <w:r/>
            <w:r>
              <w:rPr>
                <w:rFonts w:ascii="Times New Roman" w:hAnsi="Times New Roman"/>
                <w:color w:val="2D2D2D"/>
                <w:sz w:val="18"/>
                <w:rFonts w:eastAsia="SimSun"/>
              </w:rPr>
              <w:t>—</w:t>
            </w:r>
          </w:p>
        </w:tc>
        <w:tc>
          <w:tcPr>
            <w:tcW w:type="dxa" w:w="1701"/>
          </w:tcPr>
          <w:p>
            <w:pPr>
              <w:jc w:val="right"/>
            </w:pPr>
            <w:r/>
            <w:r>
              <w:rPr>
                <w:rFonts w:ascii="Times New Roman" w:hAnsi="Times New Roman"/>
                <w:color w:val="2D2D2D"/>
                <w:sz w:val="18"/>
                <w:rFonts w:eastAsia="SimSun"/>
              </w:rPr>
              <w:t>$0.2–0.3B</w:t>
            </w:r>
          </w:p>
        </w:tc>
      </w:tr>
      <w:tr>
        <w:tc>
          <w:tcPr>
            <w:tcW w:type="dxa" w:w="1134"/>
            <w:shd w:fill="F8F6F0" w:val="clear"/>
          </w:tcPr>
          <w:p>
            <w:r/>
            <w:r>
              <w:rPr>
                <w:rFonts w:ascii="Times New Roman" w:hAnsi="Times New Roman"/>
                <w:color w:val="2D2D2D"/>
                <w:sz w:val="18"/>
                <w:rFonts w:eastAsia="SimSun"/>
              </w:rPr>
              <w:t>Year 3</w:t>
            </w:r>
          </w:p>
        </w:tc>
        <w:tc>
          <w:tcPr>
            <w:tcW w:type="dxa" w:w="1701"/>
            <w:shd w:fill="F8F6F0" w:val="clear"/>
          </w:tcPr>
          <w:p>
            <w:pPr>
              <w:jc w:val="right"/>
            </w:pPr>
            <w:r/>
            <w:r>
              <w:rPr>
                <w:rFonts w:ascii="Times New Roman" w:hAnsi="Times New Roman"/>
                <w:color w:val="2D2D2D"/>
                <w:sz w:val="18"/>
                <w:rFonts w:eastAsia="SimSun"/>
              </w:rPr>
              <w:t>$1–2B</w:t>
            </w:r>
          </w:p>
        </w:tc>
        <w:tc>
          <w:tcPr>
            <w:tcW w:type="dxa" w:w="1701"/>
            <w:shd w:fill="F8F6F0" w:val="clear"/>
          </w:tcPr>
          <w:p>
            <w:pPr>
              <w:jc w:val="right"/>
            </w:pPr>
            <w:r/>
            <w:r>
              <w:rPr>
                <w:rFonts w:ascii="Times New Roman" w:hAnsi="Times New Roman"/>
                <w:color w:val="2D2D2D"/>
                <w:sz w:val="18"/>
                <w:rFonts w:eastAsia="SimSun"/>
              </w:rPr>
              <w:t>$0.5–1B</w:t>
            </w:r>
          </w:p>
        </w:tc>
        <w:tc>
          <w:tcPr>
            <w:tcW w:type="dxa" w:w="1701"/>
            <w:shd w:fill="F8F6F0" w:val="clear"/>
          </w:tcPr>
          <w:p>
            <w:pPr>
              <w:jc w:val="right"/>
            </w:pPr>
            <w:r/>
            <w:r>
              <w:rPr>
                <w:rFonts w:ascii="Times New Roman" w:hAnsi="Times New Roman"/>
                <w:color w:val="2D2D2D"/>
                <w:sz w:val="18"/>
                <w:rFonts w:eastAsia="SimSun"/>
              </w:rPr>
              <w:t>$0.5–1B</w:t>
            </w:r>
          </w:p>
        </w:tc>
        <w:tc>
          <w:tcPr>
            <w:tcW w:type="dxa" w:w="1701"/>
            <w:shd w:fill="F8F6F0" w:val="clear"/>
          </w:tcPr>
          <w:p>
            <w:pPr>
              <w:jc w:val="right"/>
            </w:pPr>
            <w:r/>
            <w:r>
              <w:rPr>
                <w:rFonts w:ascii="Times New Roman" w:hAnsi="Times New Roman"/>
                <w:color w:val="2D2D2D"/>
                <w:sz w:val="18"/>
                <w:rFonts w:eastAsia="SimSun"/>
              </w:rPr>
              <w:t>—</w:t>
            </w:r>
          </w:p>
        </w:tc>
        <w:tc>
          <w:tcPr>
            <w:tcW w:type="dxa" w:w="1701"/>
            <w:shd w:fill="F8F6F0" w:val="clear"/>
          </w:tcPr>
          <w:p>
            <w:pPr>
              <w:jc w:val="right"/>
            </w:pPr>
            <w:r/>
            <w:r>
              <w:rPr>
                <w:rFonts w:ascii="Times New Roman" w:hAnsi="Times New Roman"/>
                <w:color w:val="2D2D2D"/>
                <w:sz w:val="18"/>
                <w:rFonts w:eastAsia="SimSun"/>
              </w:rPr>
              <w:t>$2–4B</w:t>
            </w:r>
          </w:p>
        </w:tc>
      </w:tr>
      <w:tr>
        <w:tc>
          <w:tcPr>
            <w:tcW w:type="dxa" w:w="1134"/>
          </w:tcPr>
          <w:p>
            <w:r/>
            <w:r>
              <w:rPr>
                <w:rFonts w:ascii="Times New Roman" w:hAnsi="Times New Roman"/>
                <w:color w:val="2D2D2D"/>
                <w:sz w:val="18"/>
                <w:rFonts w:eastAsia="SimSun"/>
              </w:rPr>
              <w:t>Year 5</w:t>
            </w:r>
          </w:p>
        </w:tc>
        <w:tc>
          <w:tcPr>
            <w:tcW w:type="dxa" w:w="1701"/>
          </w:tcPr>
          <w:p>
            <w:pPr>
              <w:jc w:val="right"/>
            </w:pPr>
            <w:r/>
            <w:r>
              <w:rPr>
                <w:rFonts w:ascii="Times New Roman" w:hAnsi="Times New Roman"/>
                <w:color w:val="2D2D2D"/>
                <w:sz w:val="18"/>
                <w:rFonts w:eastAsia="SimSun"/>
              </w:rPr>
              <w:t>$5–10B</w:t>
            </w:r>
          </w:p>
        </w:tc>
        <w:tc>
          <w:tcPr>
            <w:tcW w:type="dxa" w:w="1701"/>
          </w:tcPr>
          <w:p>
            <w:pPr>
              <w:jc w:val="right"/>
            </w:pPr>
            <w:r/>
            <w:r>
              <w:rPr>
                <w:rFonts w:ascii="Times New Roman" w:hAnsi="Times New Roman"/>
                <w:color w:val="2D2D2D"/>
                <w:sz w:val="18"/>
                <w:rFonts w:eastAsia="SimSun"/>
              </w:rPr>
              <w:t>$3–5B</w:t>
            </w:r>
          </w:p>
        </w:tc>
        <w:tc>
          <w:tcPr>
            <w:tcW w:type="dxa" w:w="1701"/>
          </w:tcPr>
          <w:p>
            <w:pPr>
              <w:jc w:val="right"/>
            </w:pPr>
            <w:r/>
            <w:r>
              <w:rPr>
                <w:rFonts w:ascii="Times New Roman" w:hAnsi="Times New Roman"/>
                <w:color w:val="2D2D2D"/>
                <w:sz w:val="18"/>
                <w:rFonts w:eastAsia="SimSun"/>
              </w:rPr>
              <w:t>$5–10B</w:t>
            </w:r>
          </w:p>
        </w:tc>
        <w:tc>
          <w:tcPr>
            <w:tcW w:type="dxa" w:w="1701"/>
          </w:tcPr>
          <w:p>
            <w:pPr>
              <w:jc w:val="right"/>
            </w:pPr>
            <w:r/>
            <w:r>
              <w:rPr>
                <w:rFonts w:ascii="Times New Roman" w:hAnsi="Times New Roman"/>
                <w:color w:val="2D2D2D"/>
                <w:sz w:val="18"/>
                <w:rFonts w:eastAsia="SimSun"/>
              </w:rPr>
              <w:t>$5–10B</w:t>
            </w:r>
          </w:p>
        </w:tc>
        <w:tc>
          <w:tcPr>
            <w:tcW w:type="dxa" w:w="1701"/>
          </w:tcPr>
          <w:p>
            <w:pPr>
              <w:jc w:val="right"/>
            </w:pPr>
            <w:r/>
            <w:r>
              <w:rPr>
                <w:rFonts w:ascii="Times New Roman" w:hAnsi="Times New Roman"/>
                <w:color w:val="2D2D2D"/>
                <w:sz w:val="18"/>
                <w:rFonts w:eastAsia="SimSun"/>
              </w:rPr>
              <w:t>$18–35B</w:t>
            </w:r>
          </w:p>
        </w:tc>
      </w:tr>
      <w:tr>
        <w:tc>
          <w:tcPr>
            <w:tcW w:type="dxa" w:w="1134"/>
            <w:shd w:fill="F8F6F0" w:val="clear"/>
          </w:tcPr>
          <w:p>
            <w:r/>
            <w:r>
              <w:rPr>
                <w:rFonts w:ascii="Times New Roman" w:hAnsi="Times New Roman"/>
                <w:color w:val="2D2D2D"/>
                <w:sz w:val="18"/>
                <w:rFonts w:eastAsia="SimSun"/>
              </w:rPr>
              <w:t>Year 8</w:t>
            </w:r>
          </w:p>
        </w:tc>
        <w:tc>
          <w:tcPr>
            <w:tcW w:type="dxa" w:w="1701"/>
            <w:shd w:fill="F8F6F0" w:val="clear"/>
          </w:tcPr>
          <w:p>
            <w:pPr>
              <w:jc w:val="right"/>
            </w:pPr>
            <w:r/>
            <w:r>
              <w:rPr>
                <w:rFonts w:ascii="Times New Roman" w:hAnsi="Times New Roman"/>
                <w:color w:val="2D2D2D"/>
                <w:sz w:val="18"/>
                <w:rFonts w:eastAsia="SimSun"/>
              </w:rPr>
              <w:t>$30–50B</w:t>
            </w:r>
          </w:p>
        </w:tc>
        <w:tc>
          <w:tcPr>
            <w:tcW w:type="dxa" w:w="1701"/>
            <w:shd w:fill="F8F6F0" w:val="clear"/>
          </w:tcPr>
          <w:p>
            <w:pPr>
              <w:jc w:val="right"/>
            </w:pPr>
            <w:r/>
            <w:r>
              <w:rPr>
                <w:rFonts w:ascii="Times New Roman" w:hAnsi="Times New Roman"/>
                <w:color w:val="2D2D2D"/>
                <w:sz w:val="18"/>
                <w:rFonts w:eastAsia="SimSun"/>
              </w:rPr>
              <w:t>$10–20B</w:t>
            </w:r>
          </w:p>
        </w:tc>
        <w:tc>
          <w:tcPr>
            <w:tcW w:type="dxa" w:w="1701"/>
            <w:shd w:fill="F8F6F0" w:val="clear"/>
          </w:tcPr>
          <w:p>
            <w:pPr>
              <w:jc w:val="right"/>
            </w:pPr>
            <w:r/>
            <w:r>
              <w:rPr>
                <w:rFonts w:ascii="Times New Roman" w:hAnsi="Times New Roman"/>
                <w:color w:val="2D2D2D"/>
                <w:sz w:val="18"/>
                <w:rFonts w:eastAsia="SimSun"/>
              </w:rPr>
              <w:t>$50–100B</w:t>
            </w:r>
          </w:p>
        </w:tc>
        <w:tc>
          <w:tcPr>
            <w:tcW w:type="dxa" w:w="1701"/>
            <w:shd w:fill="F8F6F0" w:val="clear"/>
          </w:tcPr>
          <w:p>
            <w:pPr>
              <w:jc w:val="right"/>
            </w:pPr>
            <w:r/>
            <w:r>
              <w:rPr>
                <w:rFonts w:ascii="Times New Roman" w:hAnsi="Times New Roman"/>
                <w:color w:val="2D2D2D"/>
                <w:sz w:val="18"/>
                <w:rFonts w:eastAsia="SimSun"/>
              </w:rPr>
              <w:t>$30–50B</w:t>
            </w:r>
          </w:p>
        </w:tc>
        <w:tc>
          <w:tcPr>
            <w:tcW w:type="dxa" w:w="1701"/>
            <w:shd w:fill="F8F6F0" w:val="clear"/>
          </w:tcPr>
          <w:p>
            <w:pPr>
              <w:jc w:val="right"/>
            </w:pPr>
            <w:r/>
            <w:r>
              <w:rPr>
                <w:rFonts w:ascii="Times New Roman" w:hAnsi="Times New Roman"/>
                <w:color w:val="2D2D2D"/>
                <w:sz w:val="18"/>
                <w:rFonts w:eastAsia="SimSun"/>
              </w:rPr>
              <w:t>$120–220B</w:t>
            </w:r>
          </w:p>
        </w:tc>
      </w:tr>
      <w:tr>
        <w:tc>
          <w:tcPr>
            <w:tcW w:type="dxa" w:w="1134"/>
          </w:tcPr>
          <w:p>
            <w:r/>
            <w:r>
              <w:rPr>
                <w:rFonts w:ascii="Times New Roman" w:hAnsi="Times New Roman"/>
                <w:color w:val="2D2D2D"/>
                <w:sz w:val="18"/>
                <w:rFonts w:eastAsia="SimSun"/>
              </w:rPr>
              <w:t>Year 10+</w:t>
            </w:r>
          </w:p>
        </w:tc>
        <w:tc>
          <w:tcPr>
            <w:tcW w:type="dxa" w:w="1701"/>
          </w:tcPr>
          <w:p>
            <w:pPr>
              <w:jc w:val="right"/>
            </w:pPr>
            <w:r/>
            <w:r>
              <w:rPr>
                <w:rFonts w:ascii="Times New Roman" w:hAnsi="Times New Roman"/>
                <w:color w:val="2D2D2D"/>
                <w:sz w:val="18"/>
                <w:rFonts w:eastAsia="SimSun"/>
              </w:rPr>
              <w:t>$100–200B</w:t>
            </w:r>
          </w:p>
        </w:tc>
        <w:tc>
          <w:tcPr>
            <w:tcW w:type="dxa" w:w="1701"/>
          </w:tcPr>
          <w:p>
            <w:pPr>
              <w:jc w:val="right"/>
            </w:pPr>
            <w:r/>
            <w:r>
              <w:rPr>
                <w:rFonts w:ascii="Times New Roman" w:hAnsi="Times New Roman"/>
                <w:color w:val="2D2D2D"/>
                <w:sz w:val="18"/>
                <w:rFonts w:eastAsia="SimSun"/>
              </w:rPr>
              <w:t>$30–50B</w:t>
            </w:r>
          </w:p>
        </w:tc>
        <w:tc>
          <w:tcPr>
            <w:tcW w:type="dxa" w:w="1701"/>
          </w:tcPr>
          <w:p>
            <w:pPr>
              <w:jc w:val="right"/>
            </w:pPr>
            <w:r/>
            <w:r>
              <w:rPr>
                <w:rFonts w:ascii="Times New Roman" w:hAnsi="Times New Roman"/>
                <w:color w:val="2D2D2D"/>
                <w:sz w:val="18"/>
                <w:rFonts w:eastAsia="SimSun"/>
              </w:rPr>
              <w:t>$300–500B</w:t>
            </w:r>
          </w:p>
        </w:tc>
        <w:tc>
          <w:tcPr>
            <w:tcW w:type="dxa" w:w="1701"/>
          </w:tcPr>
          <w:p>
            <w:pPr>
              <w:jc w:val="right"/>
            </w:pPr>
            <w:r/>
            <w:r>
              <w:rPr>
                <w:rFonts w:ascii="Times New Roman" w:hAnsi="Times New Roman"/>
                <w:color w:val="2D2D2D"/>
                <w:sz w:val="18"/>
                <w:rFonts w:eastAsia="SimSun"/>
              </w:rPr>
              <w:t>$100–200B</w:t>
            </w:r>
          </w:p>
        </w:tc>
        <w:tc>
          <w:tcPr>
            <w:tcW w:type="dxa" w:w="1701"/>
          </w:tcPr>
          <w:p>
            <w:pPr>
              <w:jc w:val="right"/>
            </w:pPr>
            <w:r/>
            <w:r>
              <w:rPr>
                <w:rFonts w:ascii="Times New Roman" w:hAnsi="Times New Roman"/>
                <w:color w:val="2D2D2D"/>
                <w:sz w:val="18"/>
                <w:rFonts w:eastAsia="SimSun"/>
              </w:rPr>
              <w:t>$530–950B</w:t>
            </w:r>
          </w:p>
        </w:tc>
      </w:tr>
    </w:tbl>
    <w:p>
      <w:r>
        <w:br w:type="page"/>
      </w:r>
    </w:p>
    <w:p>
      <w:pPr>
        <w:spacing w:after="0"/>
      </w:pPr>
      <w:r>
        <w:rPr>
          <w:rFonts w:ascii="Times New Roman" w:hAnsi="Times New Roman"/>
          <w:b/>
          <w:color w:val="D4A853"/>
          <w:sz w:val="22"/>
          <w:rFonts w:eastAsia="SimHei"/>
        </w:rPr>
        <w:t>CHAPTER X</w:t>
      </w:r>
    </w:p>
    <w:p>
      <w:pPr>
        <w:pStyle w:val="Heading1"/>
      </w:pPr>
      <w:r>
        <w:t>Governance, Compliance &amp; Security</w:t>
      </w:r>
    </w:p>
    <w:p>
      <w:pPr>
        <w:pStyle w:val="Heading2"/>
      </w:pPr>
      <w:r>
        <w:t>10.1  Legal Architecture</w:t>
      </w:r>
    </w:p>
    <w:p>
      <w:pPr>
        <w:spacing w:before="160" w:after="160"/>
        <w:ind w:left="283"/>
        <w:pBdr>
          <w:top w:val="single" w:sz="4" w:space="4" w:color="D4A853"/>
          <w:left w:val="single" w:sz="4" w:space="4" w:color="D4A853"/>
          <w:bottom w:val="single" w:sz="4" w:space="4" w:color="D4A853"/>
          <w:right w:val="single" w:sz="4" w:space="4" w:color="D4A853"/>
        </w:pBdr>
        <w:shd w:fill="FCF8F0" w:val="clear"/>
      </w:pPr>
      <w:r>
        <w:rPr>
          <w:rFonts w:ascii="Times New Roman" w:hAnsi="Times New Roman"/>
          <w:color w:val="444444"/>
          <w:sz w:val="20"/>
          <w:rFonts w:eastAsia="SimSun"/>
        </w:rPr>
        <w:t>Cayman Islands Foundation (governance, voting, treasury management)</w:t>
        <w:br/>
        <w:t xml:space="preserve">  ├─ BVI Token Issuance Entity: ERC-20 contract deployment &amp; token issuance</w:t>
        <w:br/>
        <w:t xml:space="preserve">  ├─ Swiss OTC Trading Entity: Institutional block trade compliance</w:t>
        <w:br/>
        <w:t xml:space="preserve">  ├─ BVI Asset Acquisition Entity → Mining SPV / Energy SPV / Property SPV</w:t>
        <w:br/>
        <w:t xml:space="preserve">  └─ NASDAQ-Listed Company (USA): SEC-regulated; public float</w:t>
      </w:r>
    </w:p>
    <w:p>
      <w:pPr>
        <w:pStyle w:val="Heading2"/>
      </w:pPr>
      <w:r>
        <w:t>10.2  Compliance Strategy</w:t>
      </w:r>
    </w:p>
    <w:tbl>
      <w:tblPr>
        <w:tblStyle w:val="TableGrid"/>
        <w:tblW w:type="auto" w:w="0"/>
        <w:jc w:val="center"/>
        <w:tblLook w:firstColumn="1" w:firstRow="1" w:lastColumn="0" w:lastRow="0" w:noHBand="0" w:noVBand="1" w:val="04A0"/>
      </w:tblPr>
      <w:tblGrid>
        <w:gridCol w:w="4513"/>
        <w:gridCol w:w="4513"/>
      </w:tblGrid>
      <w:tr>
        <w:tc>
          <w:tcPr>
            <w:tcW w:type="dxa" w:w="1984"/>
            <w:shd w:fill="2C2C3A" w:val="clear"/>
          </w:tcPr>
          <w:p>
            <w:pPr>
              <w:jc w:val="center"/>
            </w:pPr>
            <w:r/>
            <w:r>
              <w:rPr>
                <w:rFonts w:ascii="Times New Roman" w:hAnsi="Times New Roman"/>
                <w:b/>
                <w:color w:val="FFFFFF"/>
                <w:sz w:val="18"/>
                <w:rFonts w:eastAsia="SimHei"/>
              </w:rPr>
              <w:t>Domain</w:t>
            </w:r>
          </w:p>
        </w:tc>
        <w:tc>
          <w:tcPr>
            <w:tcW w:type="dxa" w:w="7370"/>
            <w:shd w:fill="2C2C3A" w:val="clear"/>
          </w:tcPr>
          <w:p>
            <w:pPr>
              <w:jc w:val="center"/>
            </w:pPr>
            <w:r/>
            <w:r>
              <w:rPr>
                <w:rFonts w:ascii="Times New Roman" w:hAnsi="Times New Roman"/>
                <w:b/>
                <w:color w:val="FFFFFF"/>
                <w:sz w:val="18"/>
                <w:rFonts w:eastAsia="SimHei"/>
              </w:rPr>
              <w:t>Strategy</w:t>
            </w:r>
          </w:p>
        </w:tc>
      </w:tr>
      <w:tr>
        <w:tc>
          <w:tcPr>
            <w:tcW w:type="dxa" w:w="1984"/>
          </w:tcPr>
          <w:p>
            <w:r/>
            <w:r>
              <w:rPr>
                <w:rFonts w:ascii="Times New Roman" w:hAnsi="Times New Roman"/>
                <w:color w:val="2D2D2D"/>
                <w:sz w:val="18"/>
                <w:rFonts w:eastAsia="SimSun"/>
              </w:rPr>
              <w:t>Token Compliance</w:t>
            </w:r>
          </w:p>
        </w:tc>
        <w:tc>
          <w:tcPr>
            <w:tcW w:type="dxa" w:w="7370"/>
          </w:tcPr>
          <w:p>
            <w:pPr>
              <w:jc w:val="right"/>
            </w:pPr>
            <w:r/>
            <w:r>
              <w:rPr>
                <w:rFonts w:ascii="Times New Roman" w:hAnsi="Times New Roman"/>
                <w:color w:val="2D2D2D"/>
                <w:sz w:val="18"/>
                <w:rFonts w:eastAsia="SimSun"/>
              </w:rPr>
              <w:t>pGOLD is a physical gold digitization claim, not a security. No physical redemption channel initially (KYC required for redemption), reducing security classification risk.</w:t>
            </w:r>
          </w:p>
        </w:tc>
      </w:tr>
      <w:tr>
        <w:tc>
          <w:tcPr>
            <w:tcW w:type="dxa" w:w="1984"/>
            <w:shd w:fill="F8F6F0" w:val="clear"/>
          </w:tcPr>
          <w:p>
            <w:r/>
            <w:r>
              <w:rPr>
                <w:rFonts w:ascii="Times New Roman" w:hAnsi="Times New Roman"/>
                <w:color w:val="2D2D2D"/>
                <w:sz w:val="18"/>
                <w:rFonts w:eastAsia="SimSun"/>
              </w:rPr>
              <w:t>Asset Acquisition</w:t>
            </w:r>
          </w:p>
        </w:tc>
        <w:tc>
          <w:tcPr>
            <w:tcW w:type="dxa" w:w="7370"/>
            <w:shd w:fill="F8F6F0" w:val="clear"/>
          </w:tcPr>
          <w:p>
            <w:pPr>
              <w:jc w:val="right"/>
            </w:pPr>
            <w:r/>
            <w:r>
              <w:rPr>
                <w:rFonts w:ascii="Times New Roman" w:hAnsi="Times New Roman"/>
                <w:color w:val="2D2D2D"/>
                <w:sz w:val="18"/>
                <w:rFonts w:eastAsia="SimSun"/>
              </w:rPr>
              <w:t>Conducted through BVI SPVs in compliance with foreign investment review regulations of each host country.</w:t>
            </w:r>
          </w:p>
        </w:tc>
      </w:tr>
      <w:tr>
        <w:tc>
          <w:tcPr>
            <w:tcW w:type="dxa" w:w="1984"/>
          </w:tcPr>
          <w:p>
            <w:r/>
            <w:r>
              <w:rPr>
                <w:rFonts w:ascii="Times New Roman" w:hAnsi="Times New Roman"/>
                <w:color w:val="2D2D2D"/>
                <w:sz w:val="18"/>
                <w:rFonts w:eastAsia="SimSun"/>
              </w:rPr>
              <w:t>Listed Entity</w:t>
            </w:r>
          </w:p>
        </w:tc>
        <w:tc>
          <w:tcPr>
            <w:tcW w:type="dxa" w:w="7370"/>
          </w:tcPr>
          <w:p>
            <w:pPr>
              <w:jc w:val="right"/>
            </w:pPr>
            <w:r/>
            <w:r>
              <w:rPr>
                <w:rFonts w:ascii="Times New Roman" w:hAnsi="Times New Roman"/>
                <w:color w:val="2D2D2D"/>
                <w:sz w:val="18"/>
                <w:rFonts w:eastAsia="SimSun"/>
              </w:rPr>
              <w:t>NASDAQ-listed entity is a US corporation under full SEC regulation.</w:t>
            </w:r>
          </w:p>
        </w:tc>
      </w:tr>
      <w:tr>
        <w:tc>
          <w:tcPr>
            <w:tcW w:type="dxa" w:w="1984"/>
            <w:shd w:fill="F8F6F0" w:val="clear"/>
          </w:tcPr>
          <w:p>
            <w:r/>
            <w:r>
              <w:rPr>
                <w:rFonts w:ascii="Times New Roman" w:hAnsi="Times New Roman"/>
                <w:color w:val="2D2D2D"/>
                <w:sz w:val="18"/>
                <w:rFonts w:eastAsia="SimSun"/>
              </w:rPr>
              <w:t>AML / KYC</w:t>
            </w:r>
          </w:p>
        </w:tc>
        <w:tc>
          <w:tcPr>
            <w:tcW w:type="dxa" w:w="7370"/>
            <w:shd w:fill="F8F6F0" w:val="clear"/>
          </w:tcPr>
          <w:p>
            <w:pPr>
              <w:jc w:val="right"/>
            </w:pPr>
            <w:r/>
            <w:r>
              <w:rPr>
                <w:rFonts w:ascii="Times New Roman" w:hAnsi="Times New Roman"/>
                <w:color w:val="2D2D2D"/>
                <w:sz w:val="18"/>
                <w:rFonts w:eastAsia="SimSun"/>
              </w:rPr>
              <w:t>Real-time on-chain address monitoring; no interaction with OFAC-sanctioned addresses. Large redemptions trigger enhanced KYC/AML.</w:t>
            </w:r>
          </w:p>
        </w:tc>
      </w:tr>
    </w:tbl>
    <w:p>
      <w:pPr>
        <w:pStyle w:val="Heading2"/>
      </w:pPr>
      <w:r>
        <w:t>10.3  Reserve Proof &amp; Audit</w:t>
      </w:r>
    </w:p>
    <w:p>
      <w:pPr>
        <w:spacing w:line="360" w:lineRule="auto"/>
      </w:pPr>
      <w:r>
        <w:rPr>
          <w:rFonts w:ascii="Times New Roman" w:hAnsi="Times New Roman"/>
          <w:sz w:val="22"/>
          <w:rFonts w:eastAsia="SimSun"/>
        </w:rPr>
        <w:t>• On-chain Proof of Reserve: Circulating reserve is verifiable in real time; updated daily.</w:t>
        <w:br/>
        <w:t>• Quarterly Independent Audit: Audit reports issued by a Big Four accounting firm.</w:t>
        <w:br/>
        <w:t>• Licensed Vault Custody: Brink's / Loomis or equivalent international licensed vaults; fully insured.</w:t>
        <w:br/>
        <w:t>• Smart Contract Audit: Dual audit by Trail of Bits / OpenZeppelin.</w:t>
      </w:r>
    </w:p>
    <w:p>
      <w:r>
        <w:br w:type="page"/>
      </w:r>
    </w:p>
    <w:p>
      <w:pPr>
        <w:spacing w:after="0"/>
      </w:pPr>
      <w:r>
        <w:rPr>
          <w:rFonts w:ascii="Times New Roman" w:hAnsi="Times New Roman"/>
          <w:b/>
          <w:color w:val="D4A853"/>
          <w:sz w:val="22"/>
          <w:rFonts w:eastAsia="SimHei"/>
        </w:rPr>
        <w:t>CHAPTER XI</w:t>
      </w:r>
    </w:p>
    <w:p>
      <w:pPr>
        <w:pStyle w:val="Heading1"/>
      </w:pPr>
      <w:r>
        <w:t>Execution Roadmap</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1984"/>
            <w:shd w:fill="2C2C3A" w:val="clear"/>
          </w:tcPr>
          <w:p>
            <w:pPr>
              <w:jc w:val="center"/>
            </w:pPr>
            <w:r/>
            <w:r>
              <w:rPr>
                <w:rFonts w:ascii="Times New Roman" w:hAnsi="Times New Roman"/>
                <w:b/>
                <w:color w:val="FFFFFF"/>
                <w:sz w:val="18"/>
                <w:rFonts w:eastAsia="SimHei"/>
              </w:rPr>
              <w:t>Phase</w:t>
            </w:r>
          </w:p>
        </w:tc>
        <w:tc>
          <w:tcPr>
            <w:tcW w:type="dxa" w:w="1701"/>
            <w:shd w:fill="2C2C3A" w:val="clear"/>
          </w:tcPr>
          <w:p>
            <w:pPr>
              <w:jc w:val="center"/>
            </w:pPr>
            <w:r/>
            <w:r>
              <w:rPr>
                <w:rFonts w:ascii="Times New Roman" w:hAnsi="Times New Roman"/>
                <w:b/>
                <w:color w:val="FFFFFF"/>
                <w:sz w:val="18"/>
                <w:rFonts w:eastAsia="SimHei"/>
              </w:rPr>
              <w:t>Timeline</w:t>
            </w:r>
          </w:p>
        </w:tc>
        <w:tc>
          <w:tcPr>
            <w:tcW w:type="dxa" w:w="3969"/>
            <w:shd w:fill="2C2C3A" w:val="clear"/>
          </w:tcPr>
          <w:p>
            <w:pPr>
              <w:jc w:val="center"/>
            </w:pPr>
            <w:r/>
            <w:r>
              <w:rPr>
                <w:rFonts w:ascii="Times New Roman" w:hAnsi="Times New Roman"/>
                <w:b/>
                <w:color w:val="FFFFFF"/>
                <w:sz w:val="18"/>
                <w:rFonts w:eastAsia="SimHei"/>
              </w:rPr>
              <w:t>Key Milestones</w:t>
            </w:r>
          </w:p>
        </w:tc>
        <w:tc>
          <w:tcPr>
            <w:tcW w:type="dxa" w:w="1701"/>
            <w:shd w:fill="2C2C3A" w:val="clear"/>
          </w:tcPr>
          <w:p>
            <w:pPr>
              <w:jc w:val="center"/>
            </w:pPr>
            <w:r/>
            <w:r>
              <w:rPr>
                <w:rFonts w:ascii="Times New Roman" w:hAnsi="Times New Roman"/>
                <w:b/>
                <w:color w:val="FFFFFF"/>
                <w:sz w:val="18"/>
                <w:rFonts w:eastAsia="SimHei"/>
              </w:rPr>
              <w:t>Target</w:t>
            </w:r>
          </w:p>
        </w:tc>
      </w:tr>
      <w:tr>
        <w:tc>
          <w:tcPr>
            <w:tcW w:type="dxa" w:w="1984"/>
          </w:tcPr>
          <w:p>
            <w:r/>
            <w:r>
              <w:rPr>
                <w:rFonts w:ascii="Times New Roman" w:hAnsi="Times New Roman"/>
                <w:color w:val="2D2D2D"/>
                <w:sz w:val="18"/>
                <w:rFonts w:eastAsia="SimSun"/>
              </w:rPr>
              <w:t>Phase I: Cold Start</w:t>
            </w:r>
          </w:p>
        </w:tc>
        <w:tc>
          <w:tcPr>
            <w:tcW w:type="dxa" w:w="1701"/>
          </w:tcPr>
          <w:p>
            <w:pPr>
              <w:jc w:val="right"/>
            </w:pPr>
            <w:r/>
            <w:r>
              <w:rPr>
                <w:rFonts w:ascii="Times New Roman" w:hAnsi="Times New Roman"/>
                <w:color w:val="2D2D2D"/>
                <w:sz w:val="18"/>
                <w:rFonts w:eastAsia="SimSun"/>
              </w:rPr>
              <w:t>Months 1–12</w:t>
            </w:r>
          </w:p>
        </w:tc>
        <w:tc>
          <w:tcPr>
            <w:tcW w:type="dxa" w:w="3969"/>
          </w:tcPr>
          <w:p>
            <w:pPr>
              <w:jc w:val="right"/>
            </w:pPr>
            <w:r/>
            <w:r>
              <w:rPr>
                <w:rFonts w:ascii="Times New Roman" w:hAnsi="Times New Roman"/>
                <w:color w:val="2D2D2D"/>
                <w:sz w:val="18"/>
                <w:rFonts w:eastAsia="SimSun"/>
              </w:rPr>
              <w:t>Contract development + audit; Oracle integration; Initial gold reserve procurement; Base mainnet deployment + public beta; Leaderboard system</w:t>
            </w:r>
          </w:p>
        </w:tc>
        <w:tc>
          <w:tcPr>
            <w:tcW w:type="dxa" w:w="1701"/>
          </w:tcPr>
          <w:p>
            <w:pPr>
              <w:jc w:val="right"/>
            </w:pPr>
            <w:r/>
            <w:r>
              <w:rPr>
                <w:rFonts w:ascii="Times New Roman" w:hAnsi="Times New Roman"/>
                <w:color w:val="2D2D2D"/>
                <w:sz w:val="18"/>
                <w:rFonts w:eastAsia="SimSun"/>
              </w:rPr>
              <w:t>Daily volume $10M+</w:t>
            </w:r>
          </w:p>
        </w:tc>
      </w:tr>
      <w:tr>
        <w:tc>
          <w:tcPr>
            <w:tcW w:type="dxa" w:w="1984"/>
            <w:shd w:fill="F8F6F0" w:val="clear"/>
          </w:tcPr>
          <w:p>
            <w:r/>
            <w:r>
              <w:rPr>
                <w:rFonts w:ascii="Times New Roman" w:hAnsi="Times New Roman"/>
                <w:color w:val="2D2D2D"/>
                <w:sz w:val="18"/>
                <w:rFonts w:eastAsia="SimSun"/>
              </w:rPr>
              <w:t>Phase II: Merchant Ecosystem</w:t>
            </w:r>
          </w:p>
        </w:tc>
        <w:tc>
          <w:tcPr>
            <w:tcW w:type="dxa" w:w="1701"/>
            <w:shd w:fill="F8F6F0" w:val="clear"/>
          </w:tcPr>
          <w:p>
            <w:pPr>
              <w:jc w:val="right"/>
            </w:pPr>
            <w:r/>
            <w:r>
              <w:rPr>
                <w:rFonts w:ascii="Times New Roman" w:hAnsi="Times New Roman"/>
                <w:color w:val="2D2D2D"/>
                <w:sz w:val="18"/>
                <w:rFonts w:eastAsia="SimSun"/>
              </w:rPr>
              <w:t>Months 13–36</w:t>
            </w:r>
          </w:p>
        </w:tc>
        <w:tc>
          <w:tcPr>
            <w:tcW w:type="dxa" w:w="3969"/>
            <w:shd w:fill="F8F6F0" w:val="clear"/>
          </w:tcPr>
          <w:p>
            <w:pPr>
              <w:jc w:val="right"/>
            </w:pPr>
            <w:r/>
            <w:r>
              <w:rPr>
                <w:rFonts w:ascii="Times New Roman" w:hAnsi="Times New Roman"/>
                <w:color w:val="2D2D2D"/>
                <w:sz w:val="18"/>
                <w:rFonts w:eastAsia="SimSun"/>
              </w:rPr>
              <w:t>Onboard first cross-border trade merchants; Complete 3–5 asset acquisitions; Launch first RWA project; Merchant settlement &gt; $100M/year</w:t>
            </w:r>
          </w:p>
        </w:tc>
        <w:tc>
          <w:tcPr>
            <w:tcW w:type="dxa" w:w="1701"/>
            <w:shd w:fill="F8F6F0" w:val="clear"/>
          </w:tcPr>
          <w:p>
            <w:pPr>
              <w:jc w:val="right"/>
            </w:pPr>
            <w:r/>
            <w:r>
              <w:rPr>
                <w:rFonts w:ascii="Times New Roman" w:hAnsi="Times New Roman"/>
                <w:color w:val="2D2D2D"/>
                <w:sz w:val="18"/>
                <w:rFonts w:eastAsia="SimSun"/>
              </w:rPr>
              <w:t>AUM $1B+</w:t>
            </w:r>
          </w:p>
        </w:tc>
      </w:tr>
      <w:tr>
        <w:tc>
          <w:tcPr>
            <w:tcW w:type="dxa" w:w="1984"/>
          </w:tcPr>
          <w:p>
            <w:r/>
            <w:r>
              <w:rPr>
                <w:rFonts w:ascii="Times New Roman" w:hAnsi="Times New Roman"/>
                <w:color w:val="2D2D2D"/>
                <w:sz w:val="18"/>
                <w:rFonts w:eastAsia="SimSun"/>
              </w:rPr>
              <w:t>Phase III: Scale + Listing</w:t>
            </w:r>
          </w:p>
        </w:tc>
        <w:tc>
          <w:tcPr>
            <w:tcW w:type="dxa" w:w="1701"/>
          </w:tcPr>
          <w:p>
            <w:pPr>
              <w:jc w:val="right"/>
            </w:pPr>
            <w:r/>
            <w:r>
              <w:rPr>
                <w:rFonts w:ascii="Times New Roman" w:hAnsi="Times New Roman"/>
                <w:color w:val="2D2D2D"/>
                <w:sz w:val="18"/>
                <w:rFonts w:eastAsia="SimSun"/>
              </w:rPr>
              <w:t>Years 3–10</w:t>
            </w:r>
          </w:p>
        </w:tc>
        <w:tc>
          <w:tcPr>
            <w:tcW w:type="dxa" w:w="3969"/>
          </w:tcPr>
          <w:p>
            <w:pPr>
              <w:jc w:val="right"/>
            </w:pPr>
            <w:r/>
            <w:r>
              <w:rPr>
                <w:rFonts w:ascii="Times New Roman" w:hAnsi="Times New Roman"/>
                <w:color w:val="2D2D2D"/>
                <w:sz w:val="18"/>
                <w:rFonts w:eastAsia="SimSun"/>
              </w:rPr>
              <w:t>Scaled asset acquisition; Merchant settlement &gt; $10B/year; 3–5 NASDAQ-listed companies; Annual trading volume &gt; $1T</w:t>
            </w:r>
          </w:p>
        </w:tc>
        <w:tc>
          <w:tcPr>
            <w:tcW w:type="dxa" w:w="1701"/>
          </w:tcPr>
          <w:p>
            <w:pPr>
              <w:jc w:val="right"/>
            </w:pPr>
            <w:r/>
            <w:r>
              <w:rPr>
                <w:rFonts w:ascii="Times New Roman" w:hAnsi="Times New Roman"/>
                <w:color w:val="2D2D2D"/>
                <w:sz w:val="18"/>
                <w:rFonts w:eastAsia="SimSun"/>
              </w:rPr>
              <w:t>Trillion-dollar market cap</w:t>
            </w:r>
          </w:p>
        </w:tc>
      </w:tr>
    </w:tbl>
    <w:p>
      <w:r>
        <w:br w:type="page"/>
      </w:r>
    </w:p>
    <w:p>
      <w:pPr>
        <w:spacing w:after="0"/>
      </w:pPr>
      <w:r>
        <w:rPr>
          <w:rFonts w:ascii="Times New Roman" w:hAnsi="Times New Roman"/>
          <w:b/>
          <w:color w:val="D4A853"/>
          <w:sz w:val="22"/>
          <w:rFonts w:eastAsia="SimHei"/>
        </w:rPr>
        <w:t>CHAPTER XII</w:t>
      </w:r>
    </w:p>
    <w:p>
      <w:pPr>
        <w:pStyle w:val="Heading1"/>
      </w:pPr>
      <w:r>
        <w:t>Risk Matrix &amp; Mitigation</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1417"/>
            <w:shd w:fill="2C2C3A" w:val="clear"/>
          </w:tcPr>
          <w:p>
            <w:pPr>
              <w:jc w:val="center"/>
            </w:pPr>
            <w:r/>
            <w:r>
              <w:rPr>
                <w:rFonts w:ascii="Times New Roman" w:hAnsi="Times New Roman"/>
                <w:b/>
                <w:color w:val="FFFFFF"/>
                <w:sz w:val="18"/>
                <w:rFonts w:eastAsia="SimHei"/>
              </w:rPr>
              <w:t>Risk Type</w:t>
            </w:r>
          </w:p>
        </w:tc>
        <w:tc>
          <w:tcPr>
            <w:tcW w:type="dxa" w:w="2551"/>
            <w:shd w:fill="2C2C3A" w:val="clear"/>
          </w:tcPr>
          <w:p>
            <w:pPr>
              <w:jc w:val="center"/>
            </w:pPr>
            <w:r/>
            <w:r>
              <w:rPr>
                <w:rFonts w:ascii="Times New Roman" w:hAnsi="Times New Roman"/>
                <w:b/>
                <w:color w:val="FFFFFF"/>
                <w:sz w:val="18"/>
                <w:rFonts w:eastAsia="SimHei"/>
              </w:rPr>
              <w:t>Specific Risk</w:t>
            </w:r>
          </w:p>
        </w:tc>
        <w:tc>
          <w:tcPr>
            <w:tcW w:type="dxa" w:w="1134"/>
            <w:shd w:fill="2C2C3A" w:val="clear"/>
          </w:tcPr>
          <w:p>
            <w:pPr>
              <w:jc w:val="center"/>
            </w:pPr>
            <w:r/>
            <w:r>
              <w:rPr>
                <w:rFonts w:ascii="Times New Roman" w:hAnsi="Times New Roman"/>
                <w:b/>
                <w:color w:val="FFFFFF"/>
                <w:sz w:val="18"/>
                <w:rFonts w:eastAsia="SimHei"/>
              </w:rPr>
              <w:t>Severity</w:t>
            </w:r>
          </w:p>
        </w:tc>
        <w:tc>
          <w:tcPr>
            <w:tcW w:type="dxa" w:w="4252"/>
            <w:shd w:fill="2C2C3A" w:val="clear"/>
          </w:tcPr>
          <w:p>
            <w:pPr>
              <w:jc w:val="center"/>
            </w:pPr>
            <w:r/>
            <w:r>
              <w:rPr>
                <w:rFonts w:ascii="Times New Roman" w:hAnsi="Times New Roman"/>
                <w:b/>
                <w:color w:val="FFFFFF"/>
                <w:sz w:val="18"/>
                <w:rFonts w:eastAsia="SimHei"/>
              </w:rPr>
              <w:t>Mitigation</w:t>
            </w:r>
          </w:p>
        </w:tc>
      </w:tr>
      <w:tr>
        <w:tc>
          <w:tcPr>
            <w:tcW w:type="dxa" w:w="1417"/>
          </w:tcPr>
          <w:p>
            <w:r/>
            <w:r>
              <w:rPr>
                <w:rFonts w:ascii="Times New Roman" w:hAnsi="Times New Roman"/>
                <w:color w:val="2D2D2D"/>
                <w:sz w:val="18"/>
                <w:rFonts w:eastAsia="SimSun"/>
              </w:rPr>
              <w:t>Technical</w:t>
            </w:r>
          </w:p>
        </w:tc>
        <w:tc>
          <w:tcPr>
            <w:tcW w:type="dxa" w:w="2551"/>
          </w:tcPr>
          <w:p>
            <w:pPr>
              <w:jc w:val="right"/>
            </w:pPr>
            <w:r/>
            <w:r>
              <w:rPr>
                <w:rFonts w:ascii="Times New Roman" w:hAnsi="Times New Roman"/>
                <w:color w:val="2D2D2D"/>
                <w:sz w:val="18"/>
                <w:rFonts w:eastAsia="SimSun"/>
              </w:rPr>
              <w:t>Smart contract exploit</w:t>
            </w:r>
          </w:p>
        </w:tc>
        <w:tc>
          <w:tcPr>
            <w:tcW w:type="dxa" w:w="1134"/>
          </w:tcPr>
          <w:p>
            <w:pPr>
              <w:jc w:val="right"/>
            </w:pPr>
            <w:r/>
            <w:r>
              <w:rPr>
                <w:rFonts w:ascii="Times New Roman" w:hAnsi="Times New Roman"/>
                <w:color w:val="2D2D2D"/>
                <w:sz w:val="18"/>
                <w:rFonts w:eastAsia="SimSun"/>
              </w:rPr>
              <w:t>Critical</w:t>
            </w:r>
          </w:p>
        </w:tc>
        <w:tc>
          <w:tcPr>
            <w:tcW w:type="dxa" w:w="4252"/>
          </w:tcPr>
          <w:p>
            <w:pPr>
              <w:jc w:val="right"/>
            </w:pPr>
            <w:r/>
            <w:r>
              <w:rPr>
                <w:rFonts w:ascii="Times New Roman" w:hAnsi="Times New Roman"/>
                <w:color w:val="2D2D2D"/>
                <w:sz w:val="18"/>
                <w:rFonts w:eastAsia="SimSun"/>
              </w:rPr>
              <w:t>Multiple top-tier audits; million-dollar bug bounty; multi-sig governance; timelock</w:t>
            </w:r>
          </w:p>
        </w:tc>
      </w:tr>
      <w:tr>
        <w:tc>
          <w:tcPr>
            <w:tcW w:type="dxa" w:w="1417"/>
            <w:shd w:fill="F8F6F0" w:val="clear"/>
          </w:tcPr>
          <w:p>
            <w:r/>
            <w:r>
              <w:rPr>
                <w:rFonts w:ascii="Times New Roman" w:hAnsi="Times New Roman"/>
                <w:color w:val="2D2D2D"/>
                <w:sz w:val="18"/>
                <w:rFonts w:eastAsia="SimSun"/>
              </w:rPr>
              <w:t>Technical</w:t>
            </w:r>
          </w:p>
        </w:tc>
        <w:tc>
          <w:tcPr>
            <w:tcW w:type="dxa" w:w="2551"/>
            <w:shd w:fill="F8F6F0" w:val="clear"/>
          </w:tcPr>
          <w:p>
            <w:pPr>
              <w:jc w:val="right"/>
            </w:pPr>
            <w:r/>
            <w:r>
              <w:rPr>
                <w:rFonts w:ascii="Times New Roman" w:hAnsi="Times New Roman"/>
                <w:color w:val="2D2D2D"/>
                <w:sz w:val="18"/>
                <w:rFonts w:eastAsia="SimSun"/>
              </w:rPr>
              <w:t>Oracle manipulation</w:t>
            </w:r>
          </w:p>
        </w:tc>
        <w:tc>
          <w:tcPr>
            <w:tcW w:type="dxa" w:w="1134"/>
            <w:shd w:fill="F8F6F0" w:val="clear"/>
          </w:tcPr>
          <w:p>
            <w:pPr>
              <w:jc w:val="right"/>
            </w:pPr>
            <w:r/>
            <w:r>
              <w:rPr>
                <w:rFonts w:ascii="Times New Roman" w:hAnsi="Times New Roman"/>
                <w:color w:val="2D2D2D"/>
                <w:sz w:val="18"/>
                <w:rFonts w:eastAsia="SimSun"/>
              </w:rPr>
              <w:t>High</w:t>
            </w:r>
          </w:p>
        </w:tc>
        <w:tc>
          <w:tcPr>
            <w:tcW w:type="dxa" w:w="4252"/>
            <w:shd w:fill="F8F6F0" w:val="clear"/>
          </w:tcPr>
          <w:p>
            <w:pPr>
              <w:jc w:val="right"/>
            </w:pPr>
            <w:r/>
            <w:r>
              <w:rPr>
                <w:rFonts w:ascii="Times New Roman" w:hAnsi="Times New Roman"/>
                <w:color w:val="2D2D2D"/>
                <w:sz w:val="18"/>
                <w:rFonts w:eastAsia="SimSun"/>
              </w:rPr>
              <w:t>Chainlink + Pyth dual-source; 30-min price delay; anomaly circuit breaker</w:t>
            </w:r>
          </w:p>
        </w:tc>
      </w:tr>
      <w:tr>
        <w:tc>
          <w:tcPr>
            <w:tcW w:type="dxa" w:w="1417"/>
          </w:tcPr>
          <w:p>
            <w:r/>
            <w:r>
              <w:rPr>
                <w:rFonts w:ascii="Times New Roman" w:hAnsi="Times New Roman"/>
                <w:color w:val="2D2D2D"/>
                <w:sz w:val="18"/>
                <w:rFonts w:eastAsia="SimSun"/>
              </w:rPr>
              <w:t>Market</w:t>
            </w:r>
          </w:p>
        </w:tc>
        <w:tc>
          <w:tcPr>
            <w:tcW w:type="dxa" w:w="2551"/>
          </w:tcPr>
          <w:p>
            <w:pPr>
              <w:jc w:val="right"/>
            </w:pPr>
            <w:r/>
            <w:r>
              <w:rPr>
                <w:rFonts w:ascii="Times New Roman" w:hAnsi="Times New Roman"/>
                <w:color w:val="2D2D2D"/>
                <w:sz w:val="18"/>
                <w:rFonts w:eastAsia="SimSun"/>
              </w:rPr>
              <w:t>Sustained gold price decline</w:t>
            </w:r>
          </w:p>
        </w:tc>
        <w:tc>
          <w:tcPr>
            <w:tcW w:type="dxa" w:w="1134"/>
          </w:tcPr>
          <w:p>
            <w:pPr>
              <w:jc w:val="right"/>
            </w:pPr>
            <w:r/>
            <w:r>
              <w:rPr>
                <w:rFonts w:ascii="Times New Roman" w:hAnsi="Times New Roman"/>
                <w:color w:val="2D2D2D"/>
                <w:sz w:val="18"/>
                <w:rFonts w:eastAsia="SimSun"/>
              </w:rPr>
              <w:t>Medium</w:t>
            </w:r>
          </w:p>
        </w:tc>
        <w:tc>
          <w:tcPr>
            <w:tcW w:type="dxa" w:w="4252"/>
          </w:tcPr>
          <w:p>
            <w:pPr>
              <w:jc w:val="right"/>
            </w:pPr>
            <w:r/>
            <w:r>
              <w:rPr>
                <w:rFonts w:ascii="Times New Roman" w:hAnsi="Times New Roman"/>
                <w:color w:val="2D2D2D"/>
                <w:sz w:val="18"/>
                <w:rFonts w:eastAsia="SimSun"/>
              </w:rPr>
              <w:t>Temporary redemption fee increase; Treasury maintains 30% stablecoin reserve</w:t>
            </w:r>
          </w:p>
        </w:tc>
      </w:tr>
      <w:tr>
        <w:tc>
          <w:tcPr>
            <w:tcW w:type="dxa" w:w="1417"/>
            <w:shd w:fill="F8F6F0" w:val="clear"/>
          </w:tcPr>
          <w:p>
            <w:r/>
            <w:r>
              <w:rPr>
                <w:rFonts w:ascii="Times New Roman" w:hAnsi="Times New Roman"/>
                <w:color w:val="2D2D2D"/>
                <w:sz w:val="18"/>
                <w:rFonts w:eastAsia="SimSun"/>
              </w:rPr>
              <w:t>Market</w:t>
            </w:r>
          </w:p>
        </w:tc>
        <w:tc>
          <w:tcPr>
            <w:tcW w:type="dxa" w:w="2551"/>
            <w:shd w:fill="F8F6F0" w:val="clear"/>
          </w:tcPr>
          <w:p>
            <w:pPr>
              <w:jc w:val="right"/>
            </w:pPr>
            <w:r/>
            <w:r>
              <w:rPr>
                <w:rFonts w:ascii="Times New Roman" w:hAnsi="Times New Roman"/>
                <w:color w:val="2D2D2D"/>
                <w:sz w:val="18"/>
                <w:rFonts w:eastAsia="SimSun"/>
              </w:rPr>
              <w:t>Insufficient merchant demand</w:t>
            </w:r>
          </w:p>
        </w:tc>
        <w:tc>
          <w:tcPr>
            <w:tcW w:type="dxa" w:w="1134"/>
            <w:shd w:fill="F8F6F0" w:val="clear"/>
          </w:tcPr>
          <w:p>
            <w:pPr>
              <w:jc w:val="right"/>
            </w:pPr>
            <w:r/>
            <w:r>
              <w:rPr>
                <w:rFonts w:ascii="Times New Roman" w:hAnsi="Times New Roman"/>
                <w:color w:val="2D2D2D"/>
                <w:sz w:val="18"/>
                <w:rFonts w:eastAsia="SimSun"/>
              </w:rPr>
              <w:t>Medium</w:t>
            </w:r>
          </w:p>
        </w:tc>
        <w:tc>
          <w:tcPr>
            <w:tcW w:type="dxa" w:w="4252"/>
            <w:shd w:fill="F8F6F0" w:val="clear"/>
          </w:tcPr>
          <w:p>
            <w:pPr>
              <w:jc w:val="right"/>
            </w:pPr>
            <w:r/>
            <w:r>
              <w:rPr>
                <w:rFonts w:ascii="Times New Roman" w:hAnsi="Times New Roman"/>
                <w:color w:val="2D2D2D"/>
                <w:sz w:val="18"/>
                <w:rFonts w:eastAsia="SimSun"/>
              </w:rPr>
              <w:t>Lower onboarding barriers; subsidize early merchant gas fees; expand trade partnerships</w:t>
            </w:r>
          </w:p>
        </w:tc>
      </w:tr>
      <w:tr>
        <w:tc>
          <w:tcPr>
            <w:tcW w:type="dxa" w:w="1417"/>
          </w:tcPr>
          <w:p>
            <w:r/>
            <w:r>
              <w:rPr>
                <w:rFonts w:ascii="Times New Roman" w:hAnsi="Times New Roman"/>
                <w:color w:val="2D2D2D"/>
                <w:sz w:val="18"/>
                <w:rFonts w:eastAsia="SimSun"/>
              </w:rPr>
              <w:t>Regulatory</w:t>
            </w:r>
          </w:p>
        </w:tc>
        <w:tc>
          <w:tcPr>
            <w:tcW w:type="dxa" w:w="2551"/>
          </w:tcPr>
          <w:p>
            <w:pPr>
              <w:jc w:val="right"/>
            </w:pPr>
            <w:r/>
            <w:r>
              <w:rPr>
                <w:rFonts w:ascii="Times New Roman" w:hAnsi="Times New Roman"/>
                <w:color w:val="2D2D2D"/>
                <w:sz w:val="18"/>
                <w:rFonts w:eastAsia="SimSun"/>
              </w:rPr>
              <w:t>Token classified as security</w:t>
            </w:r>
          </w:p>
        </w:tc>
        <w:tc>
          <w:tcPr>
            <w:tcW w:type="dxa" w:w="1134"/>
          </w:tcPr>
          <w:p>
            <w:pPr>
              <w:jc w:val="right"/>
            </w:pPr>
            <w:r/>
            <w:r>
              <w:rPr>
                <w:rFonts w:ascii="Times New Roman" w:hAnsi="Times New Roman"/>
                <w:color w:val="2D2D2D"/>
                <w:sz w:val="18"/>
                <w:rFonts w:eastAsia="SimSun"/>
              </w:rPr>
              <w:t>High</w:t>
            </w:r>
          </w:p>
        </w:tc>
        <w:tc>
          <w:tcPr>
            <w:tcW w:type="dxa" w:w="4252"/>
          </w:tcPr>
          <w:p>
            <w:pPr>
              <w:jc w:val="right"/>
            </w:pPr>
            <w:r/>
            <w:r>
              <w:rPr>
                <w:rFonts w:ascii="Times New Roman" w:hAnsi="Times New Roman"/>
                <w:color w:val="2D2D2D"/>
                <w:sz w:val="18"/>
                <w:rFonts w:eastAsia="SimSun"/>
              </w:rPr>
              <w:t>No physical redemption channel initially; legal opinion letters; offshore structure</w:t>
            </w:r>
          </w:p>
        </w:tc>
      </w:tr>
      <w:tr>
        <w:tc>
          <w:tcPr>
            <w:tcW w:type="dxa" w:w="1417"/>
            <w:shd w:fill="F8F6F0" w:val="clear"/>
          </w:tcPr>
          <w:p>
            <w:r/>
            <w:r>
              <w:rPr>
                <w:rFonts w:ascii="Times New Roman" w:hAnsi="Times New Roman"/>
                <w:color w:val="2D2D2D"/>
                <w:sz w:val="18"/>
                <w:rFonts w:eastAsia="SimSun"/>
              </w:rPr>
              <w:t>Regulatory</w:t>
            </w:r>
          </w:p>
        </w:tc>
        <w:tc>
          <w:tcPr>
            <w:tcW w:type="dxa" w:w="2551"/>
            <w:shd w:fill="F8F6F0" w:val="clear"/>
          </w:tcPr>
          <w:p>
            <w:pPr>
              <w:jc w:val="right"/>
            </w:pPr>
            <w:r/>
            <w:r>
              <w:rPr>
                <w:rFonts w:ascii="Times New Roman" w:hAnsi="Times New Roman"/>
                <w:color w:val="2D2D2D"/>
                <w:sz w:val="18"/>
                <w:rFonts w:eastAsia="SimSun"/>
              </w:rPr>
              <w:t>Asset acquisition blocked</w:t>
            </w:r>
          </w:p>
        </w:tc>
        <w:tc>
          <w:tcPr>
            <w:tcW w:type="dxa" w:w="1134"/>
            <w:shd w:fill="F8F6F0" w:val="clear"/>
          </w:tcPr>
          <w:p>
            <w:pPr>
              <w:jc w:val="right"/>
            </w:pPr>
            <w:r/>
            <w:r>
              <w:rPr>
                <w:rFonts w:ascii="Times New Roman" w:hAnsi="Times New Roman"/>
                <w:color w:val="2D2D2D"/>
                <w:sz w:val="18"/>
                <w:rFonts w:eastAsia="SimSun"/>
              </w:rPr>
              <w:t>Medium</w:t>
            </w:r>
          </w:p>
        </w:tc>
        <w:tc>
          <w:tcPr>
            <w:tcW w:type="dxa" w:w="4252"/>
            <w:shd w:fill="F8F6F0" w:val="clear"/>
          </w:tcPr>
          <w:p>
            <w:pPr>
              <w:jc w:val="right"/>
            </w:pPr>
            <w:r/>
            <w:r>
              <w:rPr>
                <w:rFonts w:ascii="Times New Roman" w:hAnsi="Times New Roman"/>
                <w:color w:val="2D2D2D"/>
                <w:sz w:val="18"/>
                <w:rFonts w:eastAsia="SimSun"/>
              </w:rPr>
              <w:t>Comply with local foreign investment review; diversify target jurisdictions; contingency plans</w:t>
            </w:r>
          </w:p>
        </w:tc>
      </w:tr>
      <w:tr>
        <w:tc>
          <w:tcPr>
            <w:tcW w:type="dxa" w:w="1417"/>
          </w:tcPr>
          <w:p>
            <w:r/>
            <w:r>
              <w:rPr>
                <w:rFonts w:ascii="Times New Roman" w:hAnsi="Times New Roman"/>
                <w:color w:val="2D2D2D"/>
                <w:sz w:val="18"/>
                <w:rFonts w:eastAsia="SimSun"/>
              </w:rPr>
              <w:t>Operational</w:t>
            </w:r>
          </w:p>
        </w:tc>
        <w:tc>
          <w:tcPr>
            <w:tcW w:type="dxa" w:w="2551"/>
          </w:tcPr>
          <w:p>
            <w:pPr>
              <w:jc w:val="right"/>
            </w:pPr>
            <w:r/>
            <w:r>
              <w:rPr>
                <w:rFonts w:ascii="Times New Roman" w:hAnsi="Times New Roman"/>
                <w:color w:val="2D2D2D"/>
                <w:sz w:val="18"/>
                <w:rFonts w:eastAsia="SimSun"/>
              </w:rPr>
              <w:t>Vault custody risk</w:t>
            </w:r>
          </w:p>
        </w:tc>
        <w:tc>
          <w:tcPr>
            <w:tcW w:type="dxa" w:w="1134"/>
          </w:tcPr>
          <w:p>
            <w:pPr>
              <w:jc w:val="right"/>
            </w:pPr>
            <w:r/>
            <w:r>
              <w:rPr>
                <w:rFonts w:ascii="Times New Roman" w:hAnsi="Times New Roman"/>
                <w:color w:val="2D2D2D"/>
                <w:sz w:val="18"/>
                <w:rFonts w:eastAsia="SimSun"/>
              </w:rPr>
              <w:t>High</w:t>
            </w:r>
          </w:p>
        </w:tc>
        <w:tc>
          <w:tcPr>
            <w:tcW w:type="dxa" w:w="4252"/>
          </w:tcPr>
          <w:p>
            <w:pPr>
              <w:jc w:val="right"/>
            </w:pPr>
            <w:r/>
            <w:r>
              <w:rPr>
                <w:rFonts w:ascii="Times New Roman" w:hAnsi="Times New Roman"/>
                <w:color w:val="2D2D2D"/>
                <w:sz w:val="18"/>
                <w:rFonts w:eastAsia="SimSun"/>
              </w:rPr>
              <w:t>Licensed vault; full insurance; quarterly audit; multi-sig control</w:t>
            </w:r>
          </w:p>
        </w:tc>
      </w:tr>
      <w:tr>
        <w:tc>
          <w:tcPr>
            <w:tcW w:type="dxa" w:w="1417"/>
            <w:shd w:fill="F8F6F0" w:val="clear"/>
          </w:tcPr>
          <w:p>
            <w:r/>
            <w:r>
              <w:rPr>
                <w:rFonts w:ascii="Times New Roman" w:hAnsi="Times New Roman"/>
                <w:color w:val="2D2D2D"/>
                <w:sz w:val="18"/>
                <w:rFonts w:eastAsia="SimSun"/>
              </w:rPr>
              <w:t>Operational</w:t>
            </w:r>
          </w:p>
        </w:tc>
        <w:tc>
          <w:tcPr>
            <w:tcW w:type="dxa" w:w="2551"/>
            <w:shd w:fill="F8F6F0" w:val="clear"/>
          </w:tcPr>
          <w:p>
            <w:pPr>
              <w:jc w:val="right"/>
            </w:pPr>
            <w:r/>
            <w:r>
              <w:rPr>
                <w:rFonts w:ascii="Times New Roman" w:hAnsi="Times New Roman"/>
                <w:color w:val="2D2D2D"/>
                <w:sz w:val="18"/>
                <w:rFonts w:eastAsia="SimSun"/>
              </w:rPr>
              <w:t>Deposit standard runaway</w:t>
            </w:r>
          </w:p>
        </w:tc>
        <w:tc>
          <w:tcPr>
            <w:tcW w:type="dxa" w:w="1134"/>
            <w:shd w:fill="F8F6F0" w:val="clear"/>
          </w:tcPr>
          <w:p>
            <w:pPr>
              <w:jc w:val="right"/>
            </w:pPr>
            <w:r/>
            <w:r>
              <w:rPr>
                <w:rFonts w:ascii="Times New Roman" w:hAnsi="Times New Roman"/>
                <w:color w:val="2D2D2D"/>
                <w:sz w:val="18"/>
                <w:rFonts w:eastAsia="SimSun"/>
              </w:rPr>
              <w:t>Medium</w:t>
            </w:r>
          </w:p>
        </w:tc>
        <w:tc>
          <w:tcPr>
            <w:tcW w:type="dxa" w:w="4252"/>
            <w:shd w:fill="F8F6F0" w:val="clear"/>
          </w:tcPr>
          <w:p>
            <w:pPr>
              <w:jc w:val="right"/>
            </w:pPr>
            <w:r/>
            <w:r>
              <w:rPr>
                <w:rFonts w:ascii="Times New Roman" w:hAnsi="Times New Roman"/>
                <w:color w:val="2D2D2D"/>
                <w:sz w:val="18"/>
                <w:rFonts w:eastAsia="SimSun"/>
              </w:rPr>
              <w:t>Protocol-level No cap: annual reward minting rate ≤ fee gold purchase rate</w:t>
            </w:r>
          </w:p>
        </w:tc>
      </w:tr>
      <w:tr>
        <w:tc>
          <w:tcPr>
            <w:tcW w:type="dxa" w:w="1417"/>
          </w:tcPr>
          <w:p>
            <w:r/>
            <w:r>
              <w:rPr>
                <w:rFonts w:ascii="Times New Roman" w:hAnsi="Times New Roman"/>
                <w:color w:val="2D2D2D"/>
                <w:sz w:val="18"/>
                <w:rFonts w:eastAsia="SimSun"/>
              </w:rPr>
              <w:t>Macro</w:t>
            </w:r>
          </w:p>
        </w:tc>
        <w:tc>
          <w:tcPr>
            <w:tcW w:type="dxa" w:w="2551"/>
          </w:tcPr>
          <w:p>
            <w:pPr>
              <w:jc w:val="right"/>
            </w:pPr>
            <w:r/>
            <w:r>
              <w:rPr>
                <w:rFonts w:ascii="Times New Roman" w:hAnsi="Times New Roman"/>
                <w:color w:val="2D2D2D"/>
                <w:sz w:val="18"/>
                <w:rFonts w:eastAsia="SimSun"/>
              </w:rPr>
              <w:t>Global economic crisis</w:t>
            </w:r>
          </w:p>
        </w:tc>
        <w:tc>
          <w:tcPr>
            <w:tcW w:type="dxa" w:w="1134"/>
          </w:tcPr>
          <w:p>
            <w:pPr>
              <w:jc w:val="right"/>
            </w:pPr>
            <w:r/>
            <w:r>
              <w:rPr>
                <w:rFonts w:ascii="Times New Roman" w:hAnsi="Times New Roman"/>
                <w:color w:val="2D2D2D"/>
                <w:sz w:val="18"/>
                <w:rFonts w:eastAsia="SimSun"/>
              </w:rPr>
              <w:t>Low</w:t>
            </w:r>
          </w:p>
        </w:tc>
        <w:tc>
          <w:tcPr>
            <w:tcW w:type="dxa" w:w="4252"/>
          </w:tcPr>
          <w:p>
            <w:pPr>
              <w:jc w:val="right"/>
            </w:pPr>
            <w:r/>
            <w:r>
              <w:rPr>
                <w:rFonts w:ascii="Times New Roman" w:hAnsi="Times New Roman"/>
                <w:color w:val="2D2D2D"/>
                <w:sz w:val="18"/>
                <w:rFonts w:eastAsia="SimSun"/>
              </w:rPr>
              <w:t>Gold itself is a safe-haven asset; pGOLD demand may increase during crises</w:t>
            </w:r>
          </w:p>
        </w:tc>
      </w:tr>
    </w:tbl>
    <w:p>
      <w:r>
        <w:br w:type="page"/>
      </w:r>
    </w:p>
    <w:p>
      <w:pPr>
        <w:spacing w:after="0"/>
      </w:pPr>
      <w:r>
        <w:rPr>
          <w:rFonts w:ascii="Times New Roman" w:hAnsi="Times New Roman"/>
          <w:b/>
          <w:color w:val="D4A853"/>
          <w:sz w:val="22"/>
          <w:rFonts w:eastAsia="SimHei"/>
        </w:rPr>
        <w:t>APPENDIX</w:t>
      </w:r>
    </w:p>
    <w:p>
      <w:pPr>
        <w:pStyle w:val="Heading1"/>
      </w:pPr>
      <w:r>
        <w:t>Key Parameters Quick Reference</w:t>
      </w:r>
    </w:p>
    <w:p>
      <w:pPr>
        <w:pStyle w:val="Heading2"/>
      </w:pPr>
      <w:r>
        <w:t>A.1  pGOLD Basic Information</w:t>
      </w:r>
    </w:p>
    <w:tbl>
      <w:tblPr>
        <w:tblStyle w:val="TableGrid"/>
        <w:tblW w:type="auto" w:w="0"/>
        <w:jc w:val="center"/>
        <w:tblLook w:firstColumn="1" w:firstRow="1" w:lastColumn="0" w:lastRow="0" w:noHBand="0" w:noVBand="1" w:val="04A0"/>
      </w:tblPr>
      <w:tblGrid>
        <w:gridCol w:w="4513"/>
        <w:gridCol w:w="4513"/>
      </w:tblGrid>
      <w:tr>
        <w:tc>
          <w:tcPr>
            <w:tcW w:type="dxa" w:w="2551"/>
            <w:shd w:fill="2C2C3A" w:val="clear"/>
          </w:tcPr>
          <w:p>
            <w:pPr>
              <w:jc w:val="center"/>
            </w:pPr>
            <w:r/>
            <w:r>
              <w:rPr>
                <w:rFonts w:ascii="Times New Roman" w:hAnsi="Times New Roman"/>
                <w:b/>
                <w:color w:val="FFFFFF"/>
                <w:sz w:val="18"/>
                <w:rFonts w:eastAsia="SimHei"/>
              </w:rPr>
              <w:t>Parameter</w:t>
            </w:r>
          </w:p>
        </w:tc>
        <w:tc>
          <w:tcPr>
            <w:tcW w:type="dxa" w:w="6803"/>
            <w:shd w:fill="2C2C3A" w:val="clear"/>
          </w:tcPr>
          <w:p>
            <w:pPr>
              <w:jc w:val="center"/>
            </w:pPr>
            <w:r/>
            <w:r>
              <w:rPr>
                <w:rFonts w:ascii="Times New Roman" w:hAnsi="Times New Roman"/>
                <w:b/>
                <w:color w:val="FFFFFF"/>
                <w:sz w:val="18"/>
                <w:rFonts w:eastAsia="SimHei"/>
              </w:rPr>
              <w:t>Value</w:t>
            </w:r>
          </w:p>
        </w:tc>
      </w:tr>
      <w:tr>
        <w:tc>
          <w:tcPr>
            <w:tcW w:type="dxa" w:w="2551"/>
          </w:tcPr>
          <w:p>
            <w:r/>
            <w:r>
              <w:rPr>
                <w:rFonts w:ascii="Times New Roman" w:hAnsi="Times New Roman"/>
                <w:color w:val="2D2D2D"/>
                <w:sz w:val="18"/>
                <w:rFonts w:eastAsia="SimSun"/>
              </w:rPr>
              <w:t>Name / Ticker</w:t>
            </w:r>
          </w:p>
        </w:tc>
        <w:tc>
          <w:tcPr>
            <w:tcW w:type="dxa" w:w="6803"/>
          </w:tcPr>
          <w:p>
            <w:pPr>
              <w:jc w:val="right"/>
            </w:pPr>
            <w:r/>
            <w:r>
              <w:rPr>
                <w:rFonts w:ascii="Times New Roman" w:hAnsi="Times New Roman"/>
                <w:color w:val="2D2D2D"/>
                <w:sz w:val="18"/>
                <w:rFonts w:eastAsia="SimSun"/>
              </w:rPr>
              <w:t>pGOLD / Protocol Gold</w:t>
            </w:r>
          </w:p>
        </w:tc>
      </w:tr>
      <w:tr>
        <w:tc>
          <w:tcPr>
            <w:tcW w:type="dxa" w:w="2551"/>
            <w:shd w:fill="F8F6F0" w:val="clear"/>
          </w:tcPr>
          <w:p>
            <w:r/>
            <w:r>
              <w:rPr>
                <w:rFonts w:ascii="Times New Roman" w:hAnsi="Times New Roman"/>
                <w:color w:val="2D2D2D"/>
                <w:sz w:val="18"/>
                <w:rFonts w:eastAsia="SimSun"/>
              </w:rPr>
              <w:t>Peg</w:t>
            </w:r>
          </w:p>
        </w:tc>
        <w:tc>
          <w:tcPr>
            <w:tcW w:type="dxa" w:w="6803"/>
            <w:shd w:fill="F8F6F0" w:val="clear"/>
          </w:tcPr>
          <w:p>
            <w:pPr>
              <w:jc w:val="right"/>
            </w:pPr>
            <w:r/>
            <w:r>
              <w:rPr>
                <w:rFonts w:ascii="Times New Roman" w:hAnsi="Times New Roman"/>
                <w:color w:val="2D2D2D"/>
                <w:sz w:val="18"/>
                <w:rFonts w:eastAsia="SimSun"/>
              </w:rPr>
              <w:t>1 pGOLD = 1 gram of physical gold</w:t>
            </w:r>
          </w:p>
        </w:tc>
      </w:tr>
      <w:tr>
        <w:tc>
          <w:tcPr>
            <w:tcW w:type="dxa" w:w="2551"/>
          </w:tcPr>
          <w:p>
            <w:r/>
            <w:r>
              <w:rPr>
                <w:rFonts w:ascii="Times New Roman" w:hAnsi="Times New Roman"/>
                <w:color w:val="2D2D2D"/>
                <w:sz w:val="18"/>
                <w:rFonts w:eastAsia="SimSun"/>
              </w:rPr>
              <w:t>Reference Price</w:t>
            </w:r>
          </w:p>
        </w:tc>
        <w:tc>
          <w:tcPr>
            <w:tcW w:type="dxa" w:w="6803"/>
          </w:tcPr>
          <w:p>
            <w:pPr>
              <w:jc w:val="right"/>
            </w:pPr>
            <w:r/>
            <w:r>
              <w:rPr>
                <w:rFonts w:ascii="Times New Roman" w:hAnsi="Times New Roman"/>
                <w:color w:val="2D2D2D"/>
                <w:sz w:val="18"/>
                <w:rFonts w:eastAsia="SimSun"/>
              </w:rPr>
              <w:t>$85/g (floating; tracks international gold spot)</w:t>
            </w:r>
          </w:p>
        </w:tc>
      </w:tr>
      <w:tr>
        <w:tc>
          <w:tcPr>
            <w:tcW w:type="dxa" w:w="2551"/>
            <w:shd w:fill="F8F6F0" w:val="clear"/>
          </w:tcPr>
          <w:p>
            <w:r/>
            <w:r>
              <w:rPr>
                <w:rFonts w:ascii="Times New Roman" w:hAnsi="Times New Roman"/>
                <w:color w:val="2D2D2D"/>
                <w:sz w:val="18"/>
                <w:rFonts w:eastAsia="SimSun"/>
              </w:rPr>
              <w:t>Blockchain</w:t>
            </w:r>
          </w:p>
        </w:tc>
        <w:tc>
          <w:tcPr>
            <w:tcW w:type="dxa" w:w="6803"/>
            <w:shd w:fill="F8F6F0" w:val="clear"/>
          </w:tcPr>
          <w:p>
            <w:pPr>
              <w:jc w:val="right"/>
            </w:pPr>
            <w:r/>
            <w:r>
              <w:rPr>
                <w:rFonts w:ascii="Times New Roman" w:hAnsi="Times New Roman"/>
                <w:color w:val="2D2D2D"/>
                <w:sz w:val="18"/>
                <w:rFonts w:eastAsia="SimSun"/>
              </w:rPr>
              <w:t>Base (launch); cross-chain to Arbitrum, Solana, Sui</w:t>
            </w:r>
          </w:p>
        </w:tc>
      </w:tr>
      <w:tr>
        <w:tc>
          <w:tcPr>
            <w:tcW w:type="dxa" w:w="2551"/>
          </w:tcPr>
          <w:p>
            <w:r/>
            <w:r>
              <w:rPr>
                <w:rFonts w:ascii="Times New Roman" w:hAnsi="Times New Roman"/>
                <w:color w:val="2D2D2D"/>
                <w:sz w:val="18"/>
                <w:rFonts w:eastAsia="SimSun"/>
              </w:rPr>
              <w:t>Standard</w:t>
            </w:r>
          </w:p>
        </w:tc>
        <w:tc>
          <w:tcPr>
            <w:tcW w:type="dxa" w:w="6803"/>
          </w:tcPr>
          <w:p>
            <w:pPr>
              <w:jc w:val="right"/>
            </w:pPr>
            <w:r/>
            <w:r>
              <w:rPr>
                <w:rFonts w:ascii="Times New Roman" w:hAnsi="Times New Roman"/>
                <w:color w:val="2D2D2D"/>
                <w:sz w:val="18"/>
                <w:rFonts w:eastAsia="SimSun"/>
              </w:rPr>
              <w:t>ERC-20</w:t>
            </w:r>
          </w:p>
        </w:tc>
      </w:tr>
    </w:tbl>
    <w:p>
      <w:pPr>
        <w:pStyle w:val="Heading2"/>
      </w:pPr>
      <w:r>
        <w:t>A.2  Incentive Parameters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68"/>
            <w:shd w:fill="2C2C3A" w:val="clear"/>
          </w:tcPr>
          <w:p>
            <w:pPr>
              <w:jc w:val="center"/>
            </w:pPr>
            <w:r/>
            <w:r>
              <w:rPr>
                <w:rFonts w:ascii="Times New Roman" w:hAnsi="Times New Roman"/>
                <w:b/>
                <w:color w:val="FFFFFF"/>
                <w:sz w:val="18"/>
                <w:rFonts w:eastAsia="SimHei"/>
              </w:rPr>
              <w:t>Track</w:t>
            </w:r>
          </w:p>
        </w:tc>
        <w:tc>
          <w:tcPr>
            <w:tcW w:type="dxa" w:w="1984"/>
            <w:shd w:fill="2C2C3A" w:val="clear"/>
          </w:tcPr>
          <w:p>
            <w:pPr>
              <w:jc w:val="center"/>
            </w:pPr>
            <w:r/>
            <w:r>
              <w:rPr>
                <w:rFonts w:ascii="Times New Roman" w:hAnsi="Times New Roman"/>
                <w:b/>
                <w:color w:val="FFFFFF"/>
                <w:sz w:val="18"/>
                <w:rFonts w:eastAsia="SimHei"/>
              </w:rPr>
              <w:t>Multiplier</w:t>
            </w:r>
          </w:p>
        </w:tc>
        <w:tc>
          <w:tcPr>
            <w:tcW w:type="dxa" w:w="2551"/>
            <w:shd w:fill="2C2C3A" w:val="clear"/>
          </w:tcPr>
          <w:p>
            <w:pPr>
              <w:jc w:val="center"/>
            </w:pPr>
            <w:r/>
            <w:r>
              <w:rPr>
                <w:rFonts w:ascii="Times New Roman" w:hAnsi="Times New Roman"/>
                <w:b/>
                <w:color w:val="FFFFFF"/>
                <w:sz w:val="18"/>
                <w:rFonts w:eastAsia="SimHei"/>
              </w:rPr>
              <w:t>Lockup Period</w:t>
            </w:r>
          </w:p>
        </w:tc>
        <w:tc>
          <w:tcPr>
            <w:tcW w:type="dxa" w:w="2551"/>
            <w:shd w:fill="2C2C3A" w:val="clear"/>
          </w:tcPr>
          <w:p>
            <w:pPr>
              <w:jc w:val="center"/>
            </w:pPr>
            <w:r/>
            <w:r>
              <w:rPr>
                <w:rFonts w:ascii="Times New Roman" w:hAnsi="Times New Roman"/>
                <w:b/>
                <w:color w:val="FFFFFF"/>
                <w:sz w:val="18"/>
                <w:rFonts w:eastAsia="SimHei"/>
              </w:rPr>
              <w:t>Effective APR</w:t>
            </w:r>
          </w:p>
        </w:tc>
      </w:tr>
      <w:tr>
        <w:tc>
          <w:tcPr>
            <w:tcW w:type="dxa" w:w="2268"/>
          </w:tcPr>
          <w:p>
            <w:r/>
            <w:r>
              <w:rPr>
                <w:rFonts w:ascii="Times New Roman" w:hAnsi="Times New Roman"/>
                <w:color w:val="2D2D2D"/>
                <w:sz w:val="18"/>
                <w:rFonts w:eastAsia="SimSun"/>
              </w:rPr>
              <w:t>A. Holding Dividend</w:t>
            </w:r>
          </w:p>
        </w:tc>
        <w:tc>
          <w:tcPr>
            <w:tcW w:type="dxa" w:w="1984"/>
          </w:tcPr>
          <w:p>
            <w:pPr>
              <w:jc w:val="right"/>
            </w:pPr>
            <w:r/>
            <w:r>
              <w:rPr>
                <w:rFonts w:ascii="Times New Roman" w:hAnsi="Times New Roman"/>
                <w:color w:val="2D2D2D"/>
                <w:sz w:val="18"/>
                <w:rFonts w:eastAsia="SimSun"/>
              </w:rPr>
              <w:t>3.5% p.a.</w:t>
            </w:r>
          </w:p>
        </w:tc>
        <w:tc>
          <w:tcPr>
            <w:tcW w:type="dxa" w:w="2551"/>
          </w:tcPr>
          <w:p>
            <w:pPr>
              <w:jc w:val="right"/>
            </w:pPr>
            <w:r/>
            <w:r>
              <w:rPr>
                <w:rFonts w:ascii="Times New Roman" w:hAnsi="Times New Roman"/>
                <w:color w:val="2D2D2D"/>
                <w:sz w:val="18"/>
                <w:rFonts w:eastAsia="SimSun"/>
              </w:rPr>
              <w:t>No lockup</w:t>
            </w:r>
          </w:p>
        </w:tc>
        <w:tc>
          <w:tcPr>
            <w:tcW w:type="dxa" w:w="2551"/>
          </w:tcPr>
          <w:p>
            <w:pPr>
              <w:jc w:val="right"/>
            </w:pPr>
            <w:r/>
            <w:r>
              <w:rPr>
                <w:rFonts w:ascii="Times New Roman" w:hAnsi="Times New Roman"/>
                <w:color w:val="2D2D2D"/>
                <w:sz w:val="18"/>
                <w:rFonts w:eastAsia="SimSun"/>
              </w:rPr>
              <w:t>3.5%</w:t>
            </w:r>
          </w:p>
        </w:tc>
      </w:tr>
      <w:tr>
        <w:tc>
          <w:tcPr>
            <w:tcW w:type="dxa" w:w="2268"/>
            <w:shd w:fill="F8F6F0" w:val="clear"/>
          </w:tcPr>
          <w:p>
            <w:r/>
            <w:r>
              <w:rPr>
                <w:rFonts w:ascii="Times New Roman" w:hAnsi="Times New Roman"/>
                <w:color w:val="2D2D2D"/>
                <w:sz w:val="18"/>
                <w:rFonts w:eastAsia="SimSun"/>
              </w:rPr>
              <w:t>B. Monthly Top 100</w:t>
            </w:r>
          </w:p>
        </w:tc>
        <w:tc>
          <w:tcPr>
            <w:tcW w:type="dxa" w:w="1984"/>
            <w:shd w:fill="F8F6F0" w:val="clear"/>
          </w:tcPr>
          <w:p>
            <w:pPr>
              <w:jc w:val="right"/>
            </w:pPr>
            <w:r/>
            <w:r>
              <w:rPr>
                <w:rFonts w:ascii="Times New Roman" w:hAnsi="Times New Roman"/>
                <w:color w:val="2D2D2D"/>
                <w:sz w:val="18"/>
                <w:rFonts w:eastAsia="SimSun"/>
              </w:rPr>
              <w:t>300%</w:t>
            </w:r>
          </w:p>
        </w:tc>
        <w:tc>
          <w:tcPr>
            <w:tcW w:type="dxa" w:w="2551"/>
            <w:shd w:fill="F8F6F0" w:val="clear"/>
          </w:tcPr>
          <w:p>
            <w:pPr>
              <w:jc w:val="right"/>
            </w:pPr>
            <w:r/>
            <w:r>
              <w:rPr>
                <w:rFonts w:ascii="Times New Roman" w:hAnsi="Times New Roman"/>
                <w:color w:val="2D2D2D"/>
                <w:sz w:val="18"/>
                <w:rFonts w:eastAsia="SimSun"/>
              </w:rPr>
              <w:t>10-year linear</w:t>
            </w:r>
          </w:p>
        </w:tc>
        <w:tc>
          <w:tcPr>
            <w:tcW w:type="dxa" w:w="2551"/>
            <w:shd w:fill="F8F6F0" w:val="clear"/>
          </w:tcPr>
          <w:p>
            <w:pPr>
              <w:jc w:val="right"/>
            </w:pPr>
            <w:r/>
            <w:r>
              <w:rPr>
                <w:rFonts w:ascii="Times New Roman" w:hAnsi="Times New Roman"/>
                <w:color w:val="2D2D2D"/>
                <w:sz w:val="18"/>
                <w:rFonts w:eastAsia="SimSun"/>
              </w:rPr>
              <w:t>~30% p.a.</w:t>
            </w:r>
          </w:p>
        </w:tc>
      </w:tr>
      <w:tr>
        <w:tc>
          <w:tcPr>
            <w:tcW w:type="dxa" w:w="2268"/>
          </w:tcPr>
          <w:p>
            <w:r/>
            <w:r>
              <w:rPr>
                <w:rFonts w:ascii="Times New Roman" w:hAnsi="Times New Roman"/>
                <w:color w:val="2D2D2D"/>
                <w:sz w:val="18"/>
                <w:rFonts w:eastAsia="SimSun"/>
              </w:rPr>
              <w:t>B. Quarterly Top 100</w:t>
            </w:r>
          </w:p>
        </w:tc>
        <w:tc>
          <w:tcPr>
            <w:tcW w:type="dxa" w:w="1984"/>
          </w:tcPr>
          <w:p>
            <w:pPr>
              <w:jc w:val="right"/>
            </w:pPr>
            <w:r/>
            <w:r>
              <w:rPr>
                <w:rFonts w:ascii="Times New Roman" w:hAnsi="Times New Roman"/>
                <w:color w:val="2D2D2D"/>
                <w:sz w:val="18"/>
                <w:rFonts w:eastAsia="SimSun"/>
              </w:rPr>
              <w:t>500%</w:t>
            </w:r>
          </w:p>
        </w:tc>
        <w:tc>
          <w:tcPr>
            <w:tcW w:type="dxa" w:w="2551"/>
          </w:tcPr>
          <w:p>
            <w:pPr>
              <w:jc w:val="right"/>
            </w:pPr>
            <w:r/>
            <w:r>
              <w:rPr>
                <w:rFonts w:ascii="Times New Roman" w:hAnsi="Times New Roman"/>
                <w:color w:val="2D2D2D"/>
                <w:sz w:val="18"/>
                <w:rFonts w:eastAsia="SimSun"/>
              </w:rPr>
              <w:t>10-year linear</w:t>
            </w:r>
          </w:p>
        </w:tc>
        <w:tc>
          <w:tcPr>
            <w:tcW w:type="dxa" w:w="2551"/>
          </w:tcPr>
          <w:p>
            <w:pPr>
              <w:jc w:val="right"/>
            </w:pPr>
            <w:r/>
            <w:r>
              <w:rPr>
                <w:rFonts w:ascii="Times New Roman" w:hAnsi="Times New Roman"/>
                <w:color w:val="2D2D2D"/>
                <w:sz w:val="18"/>
                <w:rFonts w:eastAsia="SimSun"/>
              </w:rPr>
              <w:t>~50% p.a.</w:t>
            </w:r>
          </w:p>
        </w:tc>
      </w:tr>
      <w:tr>
        <w:tc>
          <w:tcPr>
            <w:tcW w:type="dxa" w:w="2268"/>
            <w:shd w:fill="F8F6F0" w:val="clear"/>
          </w:tcPr>
          <w:p>
            <w:r/>
            <w:r>
              <w:rPr>
                <w:rFonts w:ascii="Times New Roman" w:hAnsi="Times New Roman"/>
                <w:color w:val="2D2D2D"/>
                <w:sz w:val="18"/>
                <w:rFonts w:eastAsia="SimSun"/>
              </w:rPr>
              <w:t>B. Annual Top 100</w:t>
            </w:r>
          </w:p>
        </w:tc>
        <w:tc>
          <w:tcPr>
            <w:tcW w:type="dxa" w:w="1984"/>
            <w:shd w:fill="F8F6F0" w:val="clear"/>
          </w:tcPr>
          <w:p>
            <w:pPr>
              <w:jc w:val="right"/>
            </w:pPr>
            <w:r/>
            <w:r>
              <w:rPr>
                <w:rFonts w:ascii="Times New Roman" w:hAnsi="Times New Roman"/>
                <w:color w:val="2D2D2D"/>
                <w:sz w:val="18"/>
                <w:rFonts w:eastAsia="SimSun"/>
              </w:rPr>
              <w:t>1000%</w:t>
            </w:r>
          </w:p>
        </w:tc>
        <w:tc>
          <w:tcPr>
            <w:tcW w:type="dxa" w:w="2551"/>
            <w:shd w:fill="F8F6F0" w:val="clear"/>
          </w:tcPr>
          <w:p>
            <w:pPr>
              <w:jc w:val="right"/>
            </w:pPr>
            <w:r/>
            <w:r>
              <w:rPr>
                <w:rFonts w:ascii="Times New Roman" w:hAnsi="Times New Roman"/>
                <w:color w:val="2D2D2D"/>
                <w:sz w:val="18"/>
                <w:rFonts w:eastAsia="SimSun"/>
              </w:rPr>
              <w:t>10-year linear</w:t>
            </w:r>
          </w:p>
        </w:tc>
        <w:tc>
          <w:tcPr>
            <w:tcW w:type="dxa" w:w="2551"/>
            <w:shd w:fill="F8F6F0" w:val="clear"/>
          </w:tcPr>
          <w:p>
            <w:pPr>
              <w:jc w:val="right"/>
            </w:pPr>
            <w:r/>
            <w:r>
              <w:rPr>
                <w:rFonts w:ascii="Times New Roman" w:hAnsi="Times New Roman"/>
                <w:color w:val="2D2D2D"/>
                <w:sz w:val="18"/>
                <w:rFonts w:eastAsia="SimSun"/>
              </w:rPr>
              <w:t>~100% p.a.</w:t>
            </w:r>
          </w:p>
        </w:tc>
      </w:tr>
      <w:tr>
        <w:tc>
          <w:tcPr>
            <w:tcW w:type="dxa" w:w="2268"/>
          </w:tcPr>
          <w:p>
            <w:r/>
            <w:r>
              <w:rPr>
                <w:rFonts w:ascii="Times New Roman" w:hAnsi="Times New Roman"/>
                <w:color w:val="2D2D2D"/>
                <w:sz w:val="18"/>
                <w:rFonts w:eastAsia="SimSun"/>
              </w:rPr>
              <w:t>C. Burn Mining</w:t>
            </w:r>
          </w:p>
        </w:tc>
        <w:tc>
          <w:tcPr>
            <w:tcW w:type="dxa" w:w="1984"/>
          </w:tcPr>
          <w:p>
            <w:pPr>
              <w:jc w:val="right"/>
            </w:pPr>
            <w:r/>
            <w:r>
              <w:rPr>
                <w:rFonts w:ascii="Times New Roman" w:hAnsi="Times New Roman"/>
                <w:color w:val="2D2D2D"/>
                <w:sz w:val="18"/>
                <w:rFonts w:eastAsia="SimSun"/>
              </w:rPr>
              <w:t>1000%</w:t>
            </w:r>
          </w:p>
        </w:tc>
        <w:tc>
          <w:tcPr>
            <w:tcW w:type="dxa" w:w="2551"/>
          </w:tcPr>
          <w:p>
            <w:pPr>
              <w:jc w:val="right"/>
            </w:pPr>
            <w:r/>
            <w:r>
              <w:rPr>
                <w:rFonts w:ascii="Times New Roman" w:hAnsi="Times New Roman"/>
                <w:color w:val="2D2D2D"/>
                <w:sz w:val="18"/>
                <w:rFonts w:eastAsia="SimSun"/>
              </w:rPr>
              <w:t>10-year linear</w:t>
            </w:r>
          </w:p>
        </w:tc>
        <w:tc>
          <w:tcPr>
            <w:tcW w:type="dxa" w:w="2551"/>
          </w:tcPr>
          <w:p>
            <w:pPr>
              <w:jc w:val="right"/>
            </w:pPr>
            <w:r/>
            <w:r>
              <w:rPr>
                <w:rFonts w:ascii="Times New Roman" w:hAnsi="Times New Roman"/>
                <w:color w:val="2D2D2D"/>
                <w:sz w:val="18"/>
                <w:rFonts w:eastAsia="SimSun"/>
              </w:rPr>
              <w:t>100% p.a.</w:t>
            </w:r>
          </w:p>
        </w:tc>
      </w:tr>
    </w:tbl>
    <w:p>
      <w:pPr>
        <w:spacing w:line="360" w:lineRule="auto"/>
      </w:pPr>
      <w:r>
        <w:rPr>
          <w:rFonts w:ascii="Times New Roman" w:hAnsi="Times New Roman"/>
          <w:sz w:val="22"/>
          <w:rFonts w:eastAsia="SimSun"/>
        </w:rPr>
        <w:t>Within Top 100: No Hard Cap + Independent Stacking (Annual absorbs Quarterly absorbs Monthly, no stacking). Burn Mining is an independent parallel track — its rewards are ADDITIVE to Top 100 leaderboard rewards. Burn requires NO staking; Top 100 REQUIRES staking.</w:t>
      </w:r>
    </w:p>
    <w:p>
      <w:pPr>
        <w:pStyle w:val="Heading2"/>
      </w:pPr>
      <w:r>
        <w:t>A.3  Ranking Thresholds</w:t>
      </w:r>
    </w:p>
    <w:tbl>
      <w:tblPr>
        <w:tblStyle w:val="TableGrid"/>
        <w:tblW w:type="auto" w:w="0"/>
        <w:jc w:val="center"/>
        <w:tblLook w:firstColumn="1" w:firstRow="1" w:lastColumn="0" w:lastRow="0" w:noHBand="0" w:noVBand="1" w:val="04A0"/>
      </w:tblPr>
      <w:tblGrid>
        <w:gridCol w:w="3009"/>
        <w:gridCol w:w="3009"/>
        <w:gridCol w:w="3009"/>
      </w:tblGrid>
      <w:tr>
        <w:tc>
          <w:tcPr>
            <w:tcW w:type="dxa" w:w="2835"/>
            <w:shd w:fill="2C2C3A" w:val="clear"/>
          </w:tcPr>
          <w:p>
            <w:pPr>
              <w:jc w:val="center"/>
            </w:pPr>
            <w:r/>
            <w:r>
              <w:rPr>
                <w:rFonts w:ascii="Times New Roman" w:hAnsi="Times New Roman"/>
                <w:b/>
                <w:color w:val="FFFFFF"/>
                <w:sz w:val="18"/>
                <w:rFonts w:eastAsia="SimHei"/>
              </w:rPr>
              <w:t>Tier</w:t>
            </w:r>
          </w:p>
        </w:tc>
        <w:tc>
          <w:tcPr>
            <w:tcW w:type="dxa" w:w="3402"/>
            <w:shd w:fill="2C2C3A" w:val="clear"/>
          </w:tcPr>
          <w:p>
            <w:pPr>
              <w:jc w:val="center"/>
            </w:pPr>
            <w:r/>
            <w:r>
              <w:rPr>
                <w:rFonts w:ascii="Times New Roman" w:hAnsi="Times New Roman"/>
                <w:b/>
                <w:color w:val="FFFFFF"/>
                <w:sz w:val="18"/>
                <w:rFonts w:eastAsia="SimHei"/>
              </w:rPr>
              <w:t>Min. Volume</w:t>
            </w:r>
          </w:p>
        </w:tc>
        <w:tc>
          <w:tcPr>
            <w:tcW w:type="dxa" w:w="3118"/>
            <w:shd w:fill="2C2C3A" w:val="clear"/>
          </w:tcPr>
          <w:p>
            <w:pPr>
              <w:jc w:val="center"/>
            </w:pPr>
            <w:r/>
            <w:r>
              <w:rPr>
                <w:rFonts w:ascii="Times New Roman" w:hAnsi="Times New Roman"/>
                <w:b/>
                <w:color w:val="FFFFFF"/>
                <w:sz w:val="18"/>
                <w:rFonts w:eastAsia="SimHei"/>
              </w:rPr>
              <w:t>Evaluation Cycle</w:t>
            </w:r>
          </w:p>
        </w:tc>
      </w:tr>
      <w:tr>
        <w:tc>
          <w:tcPr>
            <w:tcW w:type="dxa" w:w="2835"/>
          </w:tcPr>
          <w:p>
            <w:r/>
            <w:r>
              <w:rPr>
                <w:rFonts w:ascii="Times New Roman" w:hAnsi="Times New Roman"/>
                <w:color w:val="2D2D2D"/>
                <w:sz w:val="18"/>
                <w:rFonts w:eastAsia="SimSun"/>
              </w:rPr>
              <w:t>Monthly</w:t>
            </w:r>
          </w:p>
        </w:tc>
        <w:tc>
          <w:tcPr>
            <w:tcW w:type="dxa" w:w="3402"/>
          </w:tcPr>
          <w:p>
            <w:pPr>
              <w:jc w:val="right"/>
            </w:pPr>
            <w:r/>
            <w:r>
              <w:rPr>
                <w:rFonts w:ascii="Times New Roman" w:hAnsi="Times New Roman"/>
                <w:color w:val="2D2D2D"/>
                <w:sz w:val="18"/>
                <w:rFonts w:eastAsia="SimSun"/>
              </w:rPr>
              <w:t>$1M / month</w:t>
            </w:r>
          </w:p>
        </w:tc>
        <w:tc>
          <w:tcPr>
            <w:tcW w:type="dxa" w:w="3118"/>
          </w:tcPr>
          <w:p>
            <w:pPr>
              <w:jc w:val="right"/>
            </w:pPr>
            <w:r/>
            <w:r>
              <w:rPr>
                <w:rFonts w:ascii="Times New Roman" w:hAnsi="Times New Roman"/>
                <w:color w:val="2D2D2D"/>
                <w:sz w:val="18"/>
                <w:rFonts w:eastAsia="SimSun"/>
              </w:rPr>
              <w:t>Monthly</w:t>
            </w:r>
          </w:p>
        </w:tc>
      </w:tr>
      <w:tr>
        <w:tc>
          <w:tcPr>
            <w:tcW w:type="dxa" w:w="2835"/>
            <w:shd w:fill="F8F6F0" w:val="clear"/>
          </w:tcPr>
          <w:p>
            <w:r/>
            <w:r>
              <w:rPr>
                <w:rFonts w:ascii="Times New Roman" w:hAnsi="Times New Roman"/>
                <w:color w:val="2D2D2D"/>
                <w:sz w:val="18"/>
                <w:rFonts w:eastAsia="SimSun"/>
              </w:rPr>
              <w:t>Quarterly</w:t>
            </w:r>
          </w:p>
        </w:tc>
        <w:tc>
          <w:tcPr>
            <w:tcW w:type="dxa" w:w="3402"/>
            <w:shd w:fill="F8F6F0" w:val="clear"/>
          </w:tcPr>
          <w:p>
            <w:pPr>
              <w:jc w:val="right"/>
            </w:pPr>
            <w:r/>
            <w:r>
              <w:rPr>
                <w:rFonts w:ascii="Times New Roman" w:hAnsi="Times New Roman"/>
                <w:color w:val="2D2D2D"/>
                <w:sz w:val="18"/>
                <w:rFonts w:eastAsia="SimSun"/>
              </w:rPr>
              <w:t>$30M / quarter</w:t>
            </w:r>
          </w:p>
        </w:tc>
        <w:tc>
          <w:tcPr>
            <w:tcW w:type="dxa" w:w="3118"/>
            <w:shd w:fill="F8F6F0" w:val="clear"/>
          </w:tcPr>
          <w:p>
            <w:pPr>
              <w:jc w:val="right"/>
            </w:pPr>
            <w:r/>
            <w:r>
              <w:rPr>
                <w:rFonts w:ascii="Times New Roman" w:hAnsi="Times New Roman"/>
                <w:color w:val="2D2D2D"/>
                <w:sz w:val="18"/>
                <w:rFonts w:eastAsia="SimSun"/>
              </w:rPr>
              <w:t>Quarterly</w:t>
            </w:r>
          </w:p>
        </w:tc>
      </w:tr>
      <w:tr>
        <w:tc>
          <w:tcPr>
            <w:tcW w:type="dxa" w:w="2835"/>
          </w:tcPr>
          <w:p>
            <w:r/>
            <w:r>
              <w:rPr>
                <w:rFonts w:ascii="Times New Roman" w:hAnsi="Times New Roman"/>
                <w:color w:val="2D2D2D"/>
                <w:sz w:val="18"/>
                <w:rFonts w:eastAsia="SimSun"/>
              </w:rPr>
              <w:t>Annual</w:t>
            </w:r>
          </w:p>
        </w:tc>
        <w:tc>
          <w:tcPr>
            <w:tcW w:type="dxa" w:w="3402"/>
          </w:tcPr>
          <w:p>
            <w:pPr>
              <w:jc w:val="right"/>
            </w:pPr>
            <w:r/>
            <w:r>
              <w:rPr>
                <w:rFonts w:ascii="Times New Roman" w:hAnsi="Times New Roman"/>
                <w:color w:val="2D2D2D"/>
                <w:sz w:val="18"/>
                <w:rFonts w:eastAsia="SimSun"/>
              </w:rPr>
              <w:t>$500M / year</w:t>
            </w:r>
          </w:p>
        </w:tc>
        <w:tc>
          <w:tcPr>
            <w:tcW w:type="dxa" w:w="3118"/>
          </w:tcPr>
          <w:p>
            <w:pPr>
              <w:jc w:val="right"/>
            </w:pPr>
            <w:r/>
            <w:r>
              <w:rPr>
                <w:rFonts w:ascii="Times New Roman" w:hAnsi="Times New Roman"/>
                <w:color w:val="2D2D2D"/>
                <w:sz w:val="18"/>
                <w:rFonts w:eastAsia="SimSun"/>
              </w:rPr>
              <w:t>Annual</w:t>
            </w:r>
          </w:p>
        </w:tc>
      </w:tr>
    </w:tbl>
    <w:p>
      <w:pPr>
        <w:pStyle w:val="Heading2"/>
      </w:pPr>
      <w:r>
        <w:t>A.4  Fee Schedule</w:t>
      </w:r>
    </w:p>
    <w:tbl>
      <w:tblPr>
        <w:tblStyle w:val="TableGrid"/>
        <w:tblW w:type="auto" w:w="0"/>
        <w:jc w:val="center"/>
        <w:tblLook w:firstColumn="1" w:firstRow="1" w:lastColumn="0" w:lastRow="0" w:noHBand="0" w:noVBand="1" w:val="04A0"/>
      </w:tblPr>
      <w:tblGrid>
        <w:gridCol w:w="4513"/>
        <w:gridCol w:w="4513"/>
      </w:tblGrid>
      <w:tr>
        <w:tc>
          <w:tcPr>
            <w:tcW w:type="dxa" w:w="2835"/>
            <w:shd w:fill="2C2C3A" w:val="clear"/>
          </w:tcPr>
          <w:p>
            <w:pPr>
              <w:jc w:val="center"/>
            </w:pPr>
            <w:r/>
            <w:r>
              <w:rPr>
                <w:rFonts w:ascii="Times New Roman" w:hAnsi="Times New Roman"/>
                <w:b/>
                <w:color w:val="FFFFFF"/>
                <w:sz w:val="18"/>
                <w:rFonts w:eastAsia="SimHei"/>
              </w:rPr>
              <w:t>Fee Type</w:t>
            </w:r>
          </w:p>
        </w:tc>
        <w:tc>
          <w:tcPr>
            <w:tcW w:type="dxa" w:w="6520"/>
            <w:shd w:fill="2C2C3A" w:val="clear"/>
          </w:tcPr>
          <w:p>
            <w:pPr>
              <w:jc w:val="center"/>
            </w:pPr>
            <w:r/>
            <w:r>
              <w:rPr>
                <w:rFonts w:ascii="Times New Roman" w:hAnsi="Times New Roman"/>
                <w:b/>
                <w:color w:val="FFFFFF"/>
                <w:sz w:val="18"/>
                <w:rFonts w:eastAsia="SimHei"/>
              </w:rPr>
              <w:t>Rate</w:t>
            </w:r>
          </w:p>
        </w:tc>
      </w:tr>
      <w:tr>
        <w:tc>
          <w:tcPr>
            <w:tcW w:type="dxa" w:w="2835"/>
          </w:tcPr>
          <w:p>
            <w:r/>
            <w:r>
              <w:rPr>
                <w:rFonts w:ascii="Times New Roman" w:hAnsi="Times New Roman"/>
                <w:color w:val="2D2D2D"/>
                <w:sz w:val="18"/>
                <w:rFonts w:eastAsia="SimSun"/>
              </w:rPr>
              <w:t>Trading Fee</w:t>
            </w:r>
          </w:p>
        </w:tc>
        <w:tc>
          <w:tcPr>
            <w:tcW w:type="dxa" w:w="6520"/>
          </w:tcPr>
          <w:p>
            <w:pPr>
              <w:jc w:val="right"/>
            </w:pPr>
            <w:r/>
            <w:r>
              <w:rPr>
                <w:rFonts w:ascii="Times New Roman" w:hAnsi="Times New Roman"/>
                <w:color w:val="2D2D2D"/>
                <w:sz w:val="18"/>
                <w:rFonts w:eastAsia="SimSun"/>
              </w:rPr>
              <w:t>0.5% round-trip (post-optimization; originally 0.3%)</w:t>
            </w:r>
          </w:p>
        </w:tc>
      </w:tr>
      <w:tr>
        <w:tc>
          <w:tcPr>
            <w:tcW w:type="dxa" w:w="2835"/>
            <w:shd w:fill="F8F6F0" w:val="clear"/>
          </w:tcPr>
          <w:p>
            <w:r/>
            <w:r>
              <w:rPr>
                <w:rFonts w:ascii="Times New Roman" w:hAnsi="Times New Roman"/>
                <w:color w:val="2D2D2D"/>
                <w:sz w:val="18"/>
                <w:rFonts w:eastAsia="SimSun"/>
              </w:rPr>
              <w:t>Minting Premium</w:t>
            </w:r>
          </w:p>
        </w:tc>
        <w:tc>
          <w:tcPr>
            <w:tcW w:type="dxa" w:w="6520"/>
            <w:shd w:fill="F8F6F0" w:val="clear"/>
          </w:tcPr>
          <w:p>
            <w:pPr>
              <w:jc w:val="right"/>
            </w:pPr>
            <w:r/>
            <w:r>
              <w:rPr>
                <w:rFonts w:ascii="Times New Roman" w:hAnsi="Times New Roman"/>
                <w:color w:val="2D2D2D"/>
                <w:sz w:val="18"/>
                <w:rFonts w:eastAsia="SimSun"/>
              </w:rPr>
              <w:t>0.1%–0.2% (dynamic; adjusts with gold price volatility)</w:t>
            </w:r>
          </w:p>
        </w:tc>
      </w:tr>
      <w:tr>
        <w:tc>
          <w:tcPr>
            <w:tcW w:type="dxa" w:w="2835"/>
          </w:tcPr>
          <w:p>
            <w:r/>
            <w:r>
              <w:rPr>
                <w:rFonts w:ascii="Times New Roman" w:hAnsi="Times New Roman"/>
                <w:color w:val="2D2D2D"/>
                <w:sz w:val="18"/>
                <w:rFonts w:eastAsia="SimSun"/>
              </w:rPr>
              <w:t>Redemption Fee</w:t>
            </w:r>
          </w:p>
        </w:tc>
        <w:tc>
          <w:tcPr>
            <w:tcW w:type="dxa" w:w="6520"/>
          </w:tcPr>
          <w:p>
            <w:pPr>
              <w:jc w:val="right"/>
            </w:pPr>
            <w:r/>
            <w:r>
              <w:rPr>
                <w:rFonts w:ascii="Times New Roman" w:hAnsi="Times New Roman"/>
                <w:color w:val="2D2D2D"/>
                <w:sz w:val="18"/>
                <w:rFonts w:eastAsia="SimSun"/>
              </w:rPr>
              <w:t>0.05%</w:t>
            </w:r>
          </w:p>
        </w:tc>
      </w:tr>
    </w:tbl>
    <w:p>
      <w:pPr>
        <w:pStyle w:val="Heading2"/>
      </w:pPr>
      <w:r>
        <w:t>A.5  Token Economics Key Ratios</w:t>
      </w:r>
    </w:p>
    <w:tbl>
      <w:tblPr>
        <w:tblStyle w:val="TableGrid"/>
        <w:tblW w:type="auto" w:w="0"/>
        <w:jc w:val="center"/>
        <w:tblLook w:firstColumn="1" w:firstRow="1" w:lastColumn="0" w:lastRow="0" w:noHBand="0" w:noVBand="1" w:val="04A0"/>
      </w:tblPr>
      <w:tblGrid>
        <w:gridCol w:w="4513"/>
        <w:gridCol w:w="4513"/>
      </w:tblGrid>
      <w:tr>
        <w:tc>
          <w:tcPr>
            <w:tcW w:type="dxa" w:w="3118"/>
            <w:shd w:fill="2C2C3A" w:val="clear"/>
          </w:tcPr>
          <w:p>
            <w:pPr>
              <w:jc w:val="center"/>
            </w:pPr>
            <w:r/>
            <w:r>
              <w:rPr>
                <w:rFonts w:ascii="Times New Roman" w:hAnsi="Times New Roman"/>
                <w:b/>
                <w:color w:val="FFFFFF"/>
                <w:sz w:val="18"/>
                <w:rFonts w:eastAsia="SimHei"/>
              </w:rPr>
              <w:t>Metric</w:t>
            </w:r>
          </w:p>
        </w:tc>
        <w:tc>
          <w:tcPr>
            <w:tcW w:type="dxa" w:w="6236"/>
            <w:shd w:fill="2C2C3A" w:val="clear"/>
          </w:tcPr>
          <w:p>
            <w:pPr>
              <w:jc w:val="center"/>
            </w:pPr>
            <w:r/>
            <w:r>
              <w:rPr>
                <w:rFonts w:ascii="Times New Roman" w:hAnsi="Times New Roman"/>
                <w:b/>
                <w:color w:val="FFFFFF"/>
                <w:sz w:val="18"/>
                <w:rFonts w:eastAsia="SimHei"/>
              </w:rPr>
              <w:t>Value</w:t>
            </w:r>
          </w:p>
        </w:tc>
      </w:tr>
      <w:tr>
        <w:tc>
          <w:tcPr>
            <w:tcW w:type="dxa" w:w="3118"/>
          </w:tcPr>
          <w:p>
            <w:r/>
            <w:r>
              <w:rPr>
                <w:rFonts w:ascii="Times New Roman" w:hAnsi="Times New Roman"/>
                <w:color w:val="2D2D2D"/>
                <w:sz w:val="18"/>
                <w:rFonts w:eastAsia="SimSun"/>
              </w:rPr>
              <w:t>Average Annual Inflation</w:t>
            </w:r>
          </w:p>
        </w:tc>
        <w:tc>
          <w:tcPr>
            <w:tcW w:type="dxa" w:w="6236"/>
          </w:tcPr>
          <w:p>
            <w:pPr>
              <w:jc w:val="right"/>
            </w:pPr>
            <w:r/>
            <w:r>
              <w:rPr>
                <w:rFonts w:ascii="Times New Roman" w:hAnsi="Times New Roman"/>
                <w:color w:val="2D2D2D"/>
                <w:sz w:val="18"/>
                <w:rFonts w:eastAsia="SimSun"/>
              </w:rPr>
              <w:t>~1–3% (comparable to physical gold mining rate)</w:t>
            </w:r>
          </w:p>
        </w:tc>
      </w:tr>
      <w:tr>
        <w:tc>
          <w:tcPr>
            <w:tcW w:type="dxa" w:w="3118"/>
            <w:shd w:fill="F8F6F0" w:val="clear"/>
          </w:tcPr>
          <w:p>
            <w:r/>
            <w:r>
              <w:rPr>
                <w:rFonts w:ascii="Times New Roman" w:hAnsi="Times New Roman"/>
                <w:color w:val="2D2D2D"/>
                <w:sz w:val="18"/>
                <w:rFonts w:eastAsia="SimSun"/>
              </w:rPr>
              <w:t>Gold Reserve Coverage</w:t>
            </w:r>
          </w:p>
        </w:tc>
        <w:tc>
          <w:tcPr>
            <w:tcW w:type="dxa" w:w="6236"/>
            <w:shd w:fill="F8F6F0" w:val="clear"/>
          </w:tcPr>
          <w:p>
            <w:pPr>
              <w:jc w:val="right"/>
            </w:pPr>
            <w:r/>
            <w:r>
              <w:rPr>
                <w:rFonts w:ascii="Times New Roman" w:hAnsi="Times New Roman"/>
                <w:color w:val="2D2D2D"/>
                <w:sz w:val="18"/>
                <w:rFonts w:eastAsia="SimSun"/>
              </w:rPr>
              <w:t>≥ 100% at all times</w:t>
            </w:r>
          </w:p>
        </w:tc>
      </w:tr>
      <w:tr>
        <w:tc>
          <w:tcPr>
            <w:tcW w:type="dxa" w:w="3118"/>
          </w:tcPr>
          <w:p>
            <w:r/>
            <w:r>
              <w:rPr>
                <w:rFonts w:ascii="Times New Roman" w:hAnsi="Times New Roman"/>
                <w:color w:val="2D2D2D"/>
                <w:sz w:val="18"/>
                <w:rFonts w:eastAsia="SimSun"/>
              </w:rPr>
              <w:t>Fee Repurchase Coverage</w:t>
            </w:r>
          </w:p>
        </w:tc>
        <w:tc>
          <w:tcPr>
            <w:tcW w:type="dxa" w:w="6236"/>
          </w:tcPr>
          <w:p>
            <w:pPr>
              <w:jc w:val="right"/>
            </w:pPr>
            <w:r/>
            <w:r>
              <w:rPr>
                <w:rFonts w:ascii="Times New Roman" w:hAnsi="Times New Roman"/>
                <w:color w:val="2D2D2D"/>
                <w:sz w:val="18"/>
                <w:rFonts w:eastAsia="SimSun"/>
              </w:rPr>
              <w:t>6.5× (baseline scenario)</w:t>
            </w:r>
          </w:p>
        </w:tc>
      </w:tr>
      <w:tr>
        <w:tc>
          <w:tcPr>
            <w:tcW w:type="dxa" w:w="3118"/>
            <w:shd w:fill="F8F6F0" w:val="clear"/>
          </w:tcPr>
          <w:p>
            <w:r/>
            <w:r>
              <w:rPr>
                <w:rFonts w:ascii="Times New Roman" w:hAnsi="Times New Roman"/>
                <w:color w:val="2D2D2D"/>
                <w:sz w:val="18"/>
                <w:rFonts w:eastAsia="SimSun"/>
              </w:rPr>
              <w:t>Independent Stacking</w:t>
            </w:r>
          </w:p>
        </w:tc>
        <w:tc>
          <w:tcPr>
            <w:tcW w:type="dxa" w:w="6236"/>
            <w:shd w:fill="F8F6F0" w:val="clear"/>
          </w:tcPr>
          <w:p>
            <w:pPr>
              <w:jc w:val="right"/>
            </w:pPr>
            <w:r/>
            <w:r>
              <w:rPr>
                <w:rFonts w:ascii="Times New Roman" w:hAnsi="Times New Roman"/>
                <w:color w:val="2D2D2D"/>
                <w:sz w:val="18"/>
                <w:rFonts w:eastAsia="SimSun"/>
              </w:rPr>
              <w:t>Annual absorbs Quarterly absorbs Monthly; no No cap — unlimited stacking</w:t>
            </w:r>
          </w:p>
        </w:tc>
      </w:tr>
      <w:tr>
        <w:tc>
          <w:tcPr>
            <w:tcW w:type="dxa" w:w="3118"/>
          </w:tcPr>
          <w:p>
            <w:r/>
            <w:r>
              <w:rPr>
                <w:rFonts w:ascii="Times New Roman" w:hAnsi="Times New Roman"/>
                <w:color w:val="2D2D2D"/>
                <w:sz w:val="18"/>
                <w:rFonts w:eastAsia="SimSun"/>
              </w:rPr>
              <w:t>Deposit Anchoring</w:t>
            </w:r>
          </w:p>
        </w:tc>
        <w:tc>
          <w:tcPr>
            <w:tcW w:type="dxa" w:w="6236"/>
          </w:tcPr>
          <w:p>
            <w:pPr>
              <w:jc w:val="right"/>
            </w:pPr>
            <w:r/>
            <w:r>
              <w:rPr>
                <w:rFonts w:ascii="Times New Roman" w:hAnsi="Times New Roman"/>
                <w:color w:val="2D2D2D"/>
                <w:sz w:val="18"/>
                <w:rFonts w:eastAsia="SimSun"/>
              </w:rPr>
              <w:t>Ranking is the ticket; deposit determines reward base</w:t>
            </w:r>
          </w:p>
        </w:tc>
      </w:tr>
    </w:tbl>
    <w:p>
      <w:pPr>
        <w:pStyle w:val="Heading2"/>
      </w:pPr>
      <w:r>
        <w:t>A.6  Three User Archetypes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1701"/>
            <w:shd w:fill="2C2C3A" w:val="clear"/>
          </w:tcPr>
          <w:p>
            <w:pPr>
              <w:jc w:val="center"/>
            </w:pPr>
            <w:r/>
            <w:r>
              <w:rPr>
                <w:rFonts w:ascii="Times New Roman" w:hAnsi="Times New Roman"/>
                <w:b/>
                <w:color w:val="FFFFFF"/>
                <w:sz w:val="18"/>
                <w:rFonts w:eastAsia="SimHei"/>
              </w:rPr>
              <w:t>User Type</w:t>
            </w:r>
          </w:p>
        </w:tc>
        <w:tc>
          <w:tcPr>
            <w:tcW w:type="dxa" w:w="2551"/>
            <w:shd w:fill="2C2C3A" w:val="clear"/>
          </w:tcPr>
          <w:p>
            <w:pPr>
              <w:jc w:val="center"/>
            </w:pPr>
            <w:r/>
            <w:r>
              <w:rPr>
                <w:rFonts w:ascii="Times New Roman" w:hAnsi="Times New Roman"/>
                <w:b/>
                <w:color w:val="FFFFFF"/>
                <w:sz w:val="18"/>
                <w:rFonts w:eastAsia="SimHei"/>
              </w:rPr>
              <w:t>Behavior</w:t>
            </w:r>
          </w:p>
        </w:tc>
        <w:tc>
          <w:tcPr>
            <w:tcW w:type="dxa" w:w="2835"/>
            <w:shd w:fill="2C2C3A" w:val="clear"/>
          </w:tcPr>
          <w:p>
            <w:pPr>
              <w:jc w:val="center"/>
            </w:pPr>
            <w:r/>
            <w:r>
              <w:rPr>
                <w:rFonts w:ascii="Times New Roman" w:hAnsi="Times New Roman"/>
                <w:b/>
                <w:color w:val="FFFFFF"/>
                <w:sz w:val="18"/>
                <w:rFonts w:eastAsia="SimHei"/>
              </w:rPr>
              <w:t>Contribution</w:t>
            </w:r>
          </w:p>
        </w:tc>
        <w:tc>
          <w:tcPr>
            <w:tcW w:type="dxa" w:w="2268"/>
            <w:shd w:fill="2C2C3A" w:val="clear"/>
          </w:tcPr>
          <w:p>
            <w:pPr>
              <w:jc w:val="center"/>
            </w:pPr>
            <w:r/>
            <w:r>
              <w:rPr>
                <w:rFonts w:ascii="Times New Roman" w:hAnsi="Times New Roman"/>
                <w:b/>
                <w:color w:val="FFFFFF"/>
                <w:sz w:val="18"/>
                <w:rFonts w:eastAsia="SimHei"/>
              </w:rPr>
              <w:t>Benefit</w:t>
            </w:r>
          </w:p>
        </w:tc>
      </w:tr>
      <w:tr>
        <w:tc>
          <w:tcPr>
            <w:tcW w:type="dxa" w:w="1701"/>
          </w:tcPr>
          <w:p>
            <w:r/>
            <w:r>
              <w:rPr>
                <w:rFonts w:ascii="Times New Roman" w:hAnsi="Times New Roman"/>
                <w:color w:val="2D2D2D"/>
                <w:sz w:val="18"/>
                <w:rFonts w:eastAsia="SimSun"/>
              </w:rPr>
              <w:t>Trading Users</w:t>
            </w:r>
          </w:p>
        </w:tc>
        <w:tc>
          <w:tcPr>
            <w:tcW w:type="dxa" w:w="2551"/>
          </w:tcPr>
          <w:p>
            <w:pPr>
              <w:jc w:val="right"/>
            </w:pPr>
            <w:r/>
            <w:r>
              <w:rPr>
                <w:rFonts w:ascii="Times New Roman" w:hAnsi="Times New Roman"/>
                <w:color w:val="2D2D2D"/>
                <w:sz w:val="18"/>
                <w:rFonts w:eastAsia="SimSun"/>
              </w:rPr>
              <w:t>High-frequency on-chain trading</w:t>
            </w:r>
          </w:p>
        </w:tc>
        <w:tc>
          <w:tcPr>
            <w:tcW w:type="dxa" w:w="2835"/>
          </w:tcPr>
          <w:p>
            <w:pPr>
              <w:jc w:val="right"/>
            </w:pPr>
            <w:r/>
            <w:r>
              <w:rPr>
                <w:rFonts w:ascii="Times New Roman" w:hAnsi="Times New Roman"/>
                <w:color w:val="2D2D2D"/>
                <w:sz w:val="18"/>
                <w:rFonts w:eastAsia="SimSun"/>
              </w:rPr>
              <w:t>Liquidity creation + fee revenue</w:t>
            </w:r>
          </w:p>
        </w:tc>
        <w:tc>
          <w:tcPr>
            <w:tcW w:type="dxa" w:w="2268"/>
          </w:tcPr>
          <w:p>
            <w:pPr>
              <w:jc w:val="right"/>
            </w:pPr>
            <w:r/>
            <w:r>
              <w:rPr>
                <w:rFonts w:ascii="Times New Roman" w:hAnsi="Times New Roman"/>
                <w:color w:val="2D2D2D"/>
                <w:sz w:val="18"/>
                <w:rFonts w:eastAsia="SimSun"/>
              </w:rPr>
              <w:t>Incentive rewards + arbitrage</w:t>
            </w:r>
          </w:p>
        </w:tc>
      </w:tr>
      <w:tr>
        <w:tc>
          <w:tcPr>
            <w:tcW w:type="dxa" w:w="1701"/>
            <w:shd w:fill="F8F6F0" w:val="clear"/>
          </w:tcPr>
          <w:p>
            <w:r/>
            <w:r>
              <w:rPr>
                <w:rFonts w:ascii="Times New Roman" w:hAnsi="Times New Roman"/>
                <w:color w:val="2D2D2D"/>
                <w:sz w:val="18"/>
                <w:rFonts w:eastAsia="SimSun"/>
              </w:rPr>
              <w:t>Merchant Users</w:t>
            </w:r>
          </w:p>
        </w:tc>
        <w:tc>
          <w:tcPr>
            <w:tcW w:type="dxa" w:w="2551"/>
            <w:shd w:fill="F8F6F0" w:val="clear"/>
          </w:tcPr>
          <w:p>
            <w:pPr>
              <w:jc w:val="right"/>
            </w:pPr>
            <w:r/>
            <w:r>
              <w:rPr>
                <w:rFonts w:ascii="Times New Roman" w:hAnsi="Times New Roman"/>
                <w:color w:val="2D2D2D"/>
                <w:sz w:val="18"/>
                <w:rFonts w:eastAsia="SimSun"/>
              </w:rPr>
              <w:t>Settle physical trade in pGOLD</w:t>
            </w:r>
          </w:p>
        </w:tc>
        <w:tc>
          <w:tcPr>
            <w:tcW w:type="dxa" w:w="2835"/>
            <w:shd w:fill="F8F6F0" w:val="clear"/>
          </w:tcPr>
          <w:p>
            <w:pPr>
              <w:jc w:val="right"/>
            </w:pPr>
            <w:r/>
            <w:r>
              <w:rPr>
                <w:rFonts w:ascii="Times New Roman" w:hAnsi="Times New Roman"/>
                <w:color w:val="2D2D2D"/>
                <w:sz w:val="18"/>
                <w:rFonts w:eastAsia="SimSun"/>
              </w:rPr>
              <w:t>Absorb unlock supply + deepen market</w:t>
            </w:r>
          </w:p>
        </w:tc>
        <w:tc>
          <w:tcPr>
            <w:tcW w:type="dxa" w:w="2268"/>
            <w:shd w:fill="F8F6F0" w:val="clear"/>
          </w:tcPr>
          <w:p>
            <w:pPr>
              <w:jc w:val="right"/>
            </w:pPr>
            <w:r/>
            <w:r>
              <w:rPr>
                <w:rFonts w:ascii="Times New Roman" w:hAnsi="Times New Roman"/>
                <w:color w:val="2D2D2D"/>
                <w:sz w:val="18"/>
                <w:rFonts w:eastAsia="SimSun"/>
              </w:rPr>
              <w:t>Save SWIFT fees + FX spreads</w:t>
            </w:r>
          </w:p>
        </w:tc>
      </w:tr>
      <w:tr>
        <w:tc>
          <w:tcPr>
            <w:tcW w:type="dxa" w:w="1701"/>
          </w:tcPr>
          <w:p>
            <w:r/>
            <w:r>
              <w:rPr>
                <w:rFonts w:ascii="Times New Roman" w:hAnsi="Times New Roman"/>
                <w:color w:val="2D2D2D"/>
                <w:sz w:val="18"/>
                <w:rFonts w:eastAsia="SimSun"/>
              </w:rPr>
              <w:t>Protocol</w:t>
            </w:r>
          </w:p>
        </w:tc>
        <w:tc>
          <w:tcPr>
            <w:tcW w:type="dxa" w:w="2551"/>
          </w:tcPr>
          <w:p>
            <w:pPr>
              <w:jc w:val="right"/>
            </w:pPr>
            <w:r/>
            <w:r>
              <w:rPr>
                <w:rFonts w:ascii="Times New Roman" w:hAnsi="Times New Roman"/>
                <w:color w:val="2D2D2D"/>
                <w:sz w:val="18"/>
                <w:rFonts w:eastAsia="SimSun"/>
              </w:rPr>
              <w:t>Manage vaults + distribute incentives</w:t>
            </w:r>
          </w:p>
        </w:tc>
        <w:tc>
          <w:tcPr>
            <w:tcW w:type="dxa" w:w="2835"/>
          </w:tcPr>
          <w:p>
            <w:pPr>
              <w:jc w:val="right"/>
            </w:pPr>
            <w:r/>
            <w:r>
              <w:rPr>
                <w:rFonts w:ascii="Times New Roman" w:hAnsi="Times New Roman"/>
                <w:color w:val="2D2D2D"/>
                <w:sz w:val="18"/>
                <w:rFonts w:eastAsia="SimSun"/>
              </w:rPr>
              <w:t>Maintain system operations</w:t>
            </w:r>
          </w:p>
        </w:tc>
        <w:tc>
          <w:tcPr>
            <w:tcW w:type="dxa" w:w="2268"/>
          </w:tcPr>
          <w:p>
            <w:pPr>
              <w:jc w:val="right"/>
            </w:pPr>
            <w:r/>
            <w:r>
              <w:rPr>
                <w:rFonts w:ascii="Times New Roman" w:hAnsi="Times New Roman"/>
                <w:color w:val="2D2D2D"/>
                <w:sz w:val="18"/>
                <w:rFonts w:eastAsia="SimSun"/>
              </w:rPr>
              <w:t>Fee surplus + asset appreciation</w:t>
            </w:r>
          </w:p>
        </w:tc>
      </w:tr>
    </w:tbl>
    <w:p>
      <w:r>
        <w:br w:type="page"/>
      </w:r>
    </w:p>
    <w:p>
      <w:pPr>
        <w:spacing w:before="0" w:after="0"/>
        <w:jc w:val="center"/>
      </w:pPr>
      <w:r>
        <w:rPr>
          <w:color w:val="D4A853"/>
          <w:sz w:val="16"/>
        </w:rPr>
        <w:t>────────────────────────────────────────────────────────────</w:t>
      </w:r>
    </w:p>
    <w:p>
      <w:pPr>
        <w:spacing w:before="320"/>
        <w:jc w:val="center"/>
      </w:pPr>
      <w:r>
        <w:rPr>
          <w:rFonts w:ascii="Times New Roman" w:hAnsi="Times New Roman"/>
          <w:b/>
          <w:color w:val="666666"/>
          <w:sz w:val="22"/>
        </w:rPr>
        <w:t>DISCLAIMER</w:t>
      </w:r>
    </w:p>
    <w:p>
      <w:pPr>
        <w:jc w:val="center"/>
      </w:pPr>
      <w:r>
        <w:rPr>
          <w:rFonts w:ascii="Times New Roman" w:hAnsi="Times New Roman"/>
          <w:i/>
          <w:color w:val="888888"/>
          <w:sz w:val="16"/>
        </w:rPr>
        <w:t>This whitepaper is for informational purposes only and does not constitute an offer, solicitation, or recommendation to buy or sell any securities, tokens, or financial instruments. pGOLD is a physical gold digitization claim, not a security. All forward-looking statements involve risks and uncertainties. Past performance does not guarantee future results. Readers should conduct their own due diligence and consult qualified professional advisors before making any investment decisions. The protocol, its affiliates, and contributors disclaim all liability for any loss or damage arising from reliance on the information herein.</w:t>
      </w:r>
    </w:p>
    <w:p>
      <w:pPr>
        <w:spacing w:before="320"/>
        <w:jc w:val="center"/>
      </w:pPr>
      <w:r>
        <w:rPr>
          <w:rFonts w:ascii="Times New Roman" w:hAnsi="Times New Roman"/>
          <w:color w:val="666666"/>
          <w:sz w:val="18"/>
        </w:rPr>
        <w:t>pGOLD Protocol · Whitepaper V3.0 · June 2026</w:t>
      </w:r>
    </w:p>
    <w:p>
      <w:pPr>
        <w:spacing w:before="0" w:after="0"/>
        <w:jc w:val="center"/>
      </w:pPr>
      <w:r>
        <w:rPr>
          <w:color w:val="D4A853"/>
          <w:sz w:val="16"/>
        </w:rPr>
        <w:t>────────────────────────────────────────────────────────────</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auto"/>
    </w:pPr>
    <w:rPr>
      <w:rFonts w:ascii="Times New Roman" w:hAnsi="Times New Roman"/>
      <w:color w:val="2D2D2D"/>
      <w:sz w:val="22"/>
      <w:rFonts w:eastAsia="SimSu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960" w:after="320"/>
      <w:outlineLvl w:val="0"/>
    </w:pPr>
    <w:rPr>
      <w:rFonts w:asciiTheme="majorHAnsi" w:eastAsiaTheme="majorEastAsia" w:hAnsiTheme="majorHAnsi" w:cstheme="majorBidi" w:ascii="Times New Roman" w:hAnsi="Times New Roman"/>
      <w:b/>
      <w:bCs/>
      <w:color w:val="9A7B2A"/>
      <w:sz w:val="56"/>
      <w:szCs w:val="28"/>
      <w:rFonts w:eastAsia="SimHei"/>
    </w:rPr>
  </w:style>
  <w:style w:type="paragraph" w:styleId="Heading2">
    <w:name w:val="heading 2"/>
    <w:basedOn w:val="Normal"/>
    <w:next w:val="Normal"/>
    <w:link w:val="Heading2Char"/>
    <w:uiPriority w:val="9"/>
    <w:unhideWhenUsed/>
    <w:qFormat/>
    <w:rsid w:val="00FC693F"/>
    <w:pPr>
      <w:keepNext/>
      <w:keepLines/>
      <w:spacing w:before="720" w:after="240"/>
      <w:outlineLvl w:val="1"/>
    </w:pPr>
    <w:rPr>
      <w:rFonts w:asciiTheme="majorHAnsi" w:eastAsiaTheme="majorEastAsia" w:hAnsiTheme="majorHAnsi" w:cstheme="majorBidi" w:ascii="Times New Roman" w:hAnsi="Times New Roman"/>
      <w:b/>
      <w:bCs/>
      <w:color w:val="D4A853"/>
      <w:sz w:val="40"/>
      <w:szCs w:val="26"/>
      <w:rFonts w:eastAsia="SimHei"/>
    </w:rPr>
  </w:style>
  <w:style w:type="paragraph" w:styleId="Heading3">
    <w:name w:val="heading 3"/>
    <w:basedOn w:val="Normal"/>
    <w:next w:val="Normal"/>
    <w:link w:val="Heading3Char"/>
    <w:uiPriority w:val="9"/>
    <w:unhideWhenUsed/>
    <w:qFormat/>
    <w:rsid w:val="00FC693F"/>
    <w:pPr>
      <w:keepNext/>
      <w:keepLines/>
      <w:spacing w:before="480" w:after="160"/>
      <w:outlineLvl w:val="2"/>
    </w:pPr>
    <w:rPr>
      <w:rFonts w:asciiTheme="majorHAnsi" w:eastAsiaTheme="majorEastAsia" w:hAnsiTheme="majorHAnsi" w:cstheme="majorBidi" w:ascii="Times New Roman" w:hAnsi="Times New Roman"/>
      <w:b/>
      <w:bCs/>
      <w:color w:val="D4A853"/>
      <w:sz w:val="28"/>
      <w:rFonts w:eastAsia="SimHei"/>
    </w:rPr>
  </w:style>
  <w:style w:type="paragraph" w:styleId="Heading4">
    <w:name w:val="heading 4"/>
    <w:basedOn w:val="Normal"/>
    <w:next w:val="Normal"/>
    <w:link w:val="Heading4Char"/>
    <w:uiPriority w:val="9"/>
    <w:semiHidden/>
    <w:unhideWhenUsed/>
    <w:qFormat/>
    <w:rsid w:val="00FC693F"/>
    <w:pPr>
      <w:keepNext/>
      <w:keepLines/>
      <w:spacing w:before="360" w:after="120"/>
      <w:outlineLvl w:val="3"/>
    </w:pPr>
    <w:rPr>
      <w:rFonts w:asciiTheme="majorHAnsi" w:eastAsiaTheme="majorEastAsia" w:hAnsiTheme="majorHAnsi" w:cstheme="majorBidi" w:ascii="Times New Roman" w:hAnsi="Times New Roman"/>
      <w:b/>
      <w:bCs/>
      <w:i/>
      <w:iCs/>
      <w:color w:val="444444"/>
      <w:sz w:val="24"/>
      <w:rFonts w:eastAsia="SimHei"/>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