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250FE" w14:textId="77777777" w:rsidR="004B6967" w:rsidRDefault="004F0DA9" w:rsidP="00F97ECA">
      <w:r>
        <w:t xml:space="preserve">Data set. </w:t>
      </w:r>
      <w:r w:rsidR="004B6967">
        <w:t xml:space="preserve">A vaccine trial with vaccination </w:t>
      </w:r>
      <w:proofErr w:type="spellStart"/>
      <w:r w:rsidR="004B6967">
        <w:t>vs</w:t>
      </w:r>
      <w:proofErr w:type="spellEnd"/>
      <w:r w:rsidR="004B6967">
        <w:t xml:space="preserve"> J different serotypes (J-</w:t>
      </w:r>
      <w:proofErr w:type="spellStart"/>
      <w:r w:rsidR="004B6967">
        <w:t>valent</w:t>
      </w:r>
      <w:proofErr w:type="spellEnd"/>
      <w:r w:rsidR="004B6967">
        <w:t xml:space="preserve"> vaccine) randomized, antibodies measured and then </w:t>
      </w:r>
      <w:proofErr w:type="spellStart"/>
      <w:r w:rsidR="004B6967">
        <w:t>followup</w:t>
      </w:r>
      <w:proofErr w:type="spellEnd"/>
      <w:r w:rsidR="004B6967">
        <w:t xml:space="preserve"> to see which if any serotype colonizes the person.</w:t>
      </w:r>
    </w:p>
    <w:p w14:paraId="62004E0D" w14:textId="77777777" w:rsidR="004B6967" w:rsidRDefault="004B6967" w:rsidP="00F97ECA"/>
    <w:p w14:paraId="10C22B49" w14:textId="04498A30" w:rsidR="00801907" w:rsidRDefault="004F0DA9" w:rsidP="00F97ECA">
      <w:r>
        <w:t xml:space="preserve">For each participant </w:t>
      </w:r>
      <w:proofErr w:type="spellStart"/>
      <w:r>
        <w:t>i</w:t>
      </w:r>
      <w:proofErr w:type="spellEnd"/>
      <w:r>
        <w:t xml:space="preserve"> there is a vaccine status V</w:t>
      </w:r>
      <w:r w:rsidRPr="004B6967">
        <w:rPr>
          <w:vertAlign w:val="subscript"/>
        </w:rPr>
        <w:t>i</w:t>
      </w:r>
      <w:r>
        <w:t xml:space="preserve"> (0/1), a set of immune responses </w:t>
      </w:r>
      <w:proofErr w:type="spellStart"/>
      <w:r>
        <w:t>Rij</w:t>
      </w:r>
      <w:proofErr w:type="spellEnd"/>
      <w:r>
        <w:t xml:space="preserve"> (antibodies to serotype j), </w:t>
      </w:r>
      <w:r w:rsidR="00F97ECA">
        <w:t xml:space="preserve">a “hazard of colonization” </w:t>
      </w:r>
      <w:proofErr w:type="spellStart"/>
      <w:r w:rsidR="00F97ECA">
        <w:t>F</w:t>
      </w:r>
      <w:r w:rsidR="00F97ECA" w:rsidRPr="004B6967">
        <w:rPr>
          <w:vertAlign w:val="subscript"/>
        </w:rPr>
        <w:t>ij</w:t>
      </w:r>
      <w:proofErr w:type="spellEnd"/>
      <w:r w:rsidR="00F97ECA">
        <w:t xml:space="preserve"> (nonnegative) </w:t>
      </w:r>
      <w:r>
        <w:t>and a</w:t>
      </w:r>
      <w:r w:rsidR="00F97ECA">
        <w:t xml:space="preserve">n outcome </w:t>
      </w:r>
      <w:r w:rsidR="004B6967" w:rsidRPr="004B6967">
        <w:rPr>
          <w:position w:val="-10"/>
        </w:rPr>
        <w:object w:dxaOrig="1500" w:dyaOrig="320" w14:anchorId="069B7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16pt" o:ole="">
            <v:imagedata r:id="rId6" o:title=""/>
          </v:shape>
          <o:OLEObject Type="Embed" ProgID="Equation.DSMT4" ShapeID="_x0000_i1033" DrawAspect="Content" ObjectID="_1403875403" r:id="rId7"/>
        </w:object>
      </w:r>
      <w:r w:rsidR="004B6967">
        <w:t xml:space="preserve"> </w:t>
      </w:r>
      <w:r w:rsidR="00F97ECA">
        <w:t xml:space="preserve">which is the serotype (if any) with which the individual is colonized at some follow up time (there may be more than one </w:t>
      </w:r>
      <w:proofErr w:type="spellStart"/>
      <w:r w:rsidR="00F97ECA">
        <w:t>followup</w:t>
      </w:r>
      <w:proofErr w:type="spellEnd"/>
      <w:r w:rsidR="00F97ECA">
        <w:t xml:space="preserve"> time, but we ignore that here). </w:t>
      </w:r>
      <w:r w:rsidR="000440F4">
        <w:t xml:space="preserve">There is also a patient-specific “immune responsiveness” </w:t>
      </w:r>
      <w:proofErr w:type="gramStart"/>
      <w:r w:rsidR="000440F4">
        <w:t>X</w:t>
      </w:r>
      <w:r w:rsidR="000440F4" w:rsidRPr="004B6967">
        <w:rPr>
          <w:vertAlign w:val="subscript"/>
        </w:rPr>
        <w:t>i</w:t>
      </w:r>
      <w:r w:rsidR="000440F4">
        <w:t xml:space="preserve">  that</w:t>
      </w:r>
      <w:proofErr w:type="gramEnd"/>
      <w:r w:rsidR="000440F4">
        <w:t xml:space="preserve"> affects the immune response to all serotypes.</w:t>
      </w:r>
    </w:p>
    <w:p w14:paraId="0294D082" w14:textId="77777777" w:rsidR="006740DD" w:rsidRDefault="006740DD"/>
    <w:p w14:paraId="4527A0ED" w14:textId="663F173A" w:rsidR="00744207" w:rsidRDefault="000440F4">
      <w:r>
        <w:rPr>
          <w:noProof/>
        </w:rPr>
        <w:drawing>
          <wp:inline distT="0" distB="0" distL="0" distR="0" wp14:anchorId="1D6B0C0D" wp14:editId="5E86F7BD">
            <wp:extent cx="5486400" cy="164909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486400" cy="1649095"/>
                    </a:xfrm>
                    <a:prstGeom prst="rect">
                      <a:avLst/>
                    </a:prstGeom>
                  </pic:spPr>
                </pic:pic>
              </a:graphicData>
            </a:graphic>
          </wp:inline>
        </w:drawing>
      </w:r>
    </w:p>
    <w:p w14:paraId="1C558AE7" w14:textId="77777777" w:rsidR="00744207" w:rsidRDefault="00744207"/>
    <w:p w14:paraId="220FC05A" w14:textId="0AECE9A0" w:rsidR="008E7AAA" w:rsidRDefault="006740DD" w:rsidP="008E7AAA">
      <w:r>
        <w:t>Importantly, the only direct causal arrows from the imm</w:t>
      </w:r>
      <w:r w:rsidR="00F97ECA">
        <w:t>une response R to the outcomes hazard F are</w:t>
      </w:r>
      <w:r>
        <w:t xml:space="preserve"> are serotype-specific: antibody to one serotype can suppress </w:t>
      </w:r>
      <w:r w:rsidR="00F97ECA">
        <w:t xml:space="preserve">risk of </w:t>
      </w:r>
      <w:proofErr w:type="spellStart"/>
      <w:r w:rsidR="00F97ECA">
        <w:t>acquieing</w:t>
      </w:r>
      <w:proofErr w:type="spellEnd"/>
      <w:r>
        <w:t xml:space="preserve"> that serotype, but not of other serotypes (by assumption, very likely true). </w:t>
      </w:r>
      <w:r w:rsidR="00F97ECA">
        <w:t xml:space="preserve">The colonization state of the individual at </w:t>
      </w:r>
      <w:proofErr w:type="spellStart"/>
      <w:r w:rsidR="00F97ECA">
        <w:t>followup</w:t>
      </w:r>
      <w:proofErr w:type="spellEnd"/>
      <w:r w:rsidR="00F97ECA">
        <w:t xml:space="preserve"> may be modeled by a competing risk model: </w:t>
      </w:r>
      <w:r w:rsidR="008E7AAA" w:rsidRPr="008E7AAA">
        <w:rPr>
          <w:position w:val="-50"/>
        </w:rPr>
        <w:object w:dxaOrig="2280" w:dyaOrig="980" w14:anchorId="6AA0D4BD">
          <v:shape id="_x0000_i1026" type="#_x0000_t75" style="width:114pt;height:49pt" o:ole="">
            <v:imagedata r:id="rId9" o:title=""/>
          </v:shape>
          <o:OLEObject Type="Embed" ProgID="Equation.DSMT4" ShapeID="_x0000_i1026" DrawAspect="Content" ObjectID="_1403875404" r:id="rId10"/>
        </w:object>
      </w:r>
      <w:r w:rsidR="00F97ECA">
        <w:t xml:space="preserve"> </w:t>
      </w:r>
      <w:r w:rsidR="001A76C0">
        <w:t xml:space="preserve">or perhaps better by the model in the paper by </w:t>
      </w:r>
      <w:proofErr w:type="spellStart"/>
      <w:r w:rsidR="001A76C0">
        <w:t>Mehtala</w:t>
      </w:r>
      <w:proofErr w:type="spellEnd"/>
      <w:r w:rsidR="001A76C0">
        <w:t xml:space="preserve"> et al.</w:t>
      </w:r>
      <w:bookmarkStart w:id="0" w:name="_GoBack"/>
      <w:bookmarkEnd w:id="0"/>
      <w:r w:rsidR="001A76C0">
        <w:fldChar w:fldCharType="begin"/>
      </w:r>
      <w:r w:rsidR="001A76C0">
        <w:instrText xml:space="preserve"> ADDIN PAPERS2_CITATIONS &lt;citation&gt;&lt;uuid&gt;55F59750-2F45-4612-BD78-2BDA5AA89D06&lt;/uuid&gt;&lt;priority&gt;0&lt;/priority&gt;&lt;publications&gt;&lt;publication&gt;&lt;uuid&gt;C764D012-4979-48EB-A12B-6AC36469DC54&lt;/uuid&gt;&lt;doi&gt;10.1111/biom.12473&lt;/doi&gt;&lt;accepted_date&gt;99201511011200000000222000&lt;/accepted_date&gt;&lt;subtitle&gt;Estimation and Interpretation of Heterogeneous Vaccine Efficacy&lt;/subtitle&gt;&lt;startpage&gt;n/a&lt;/startpage&gt;&lt;revision_date&gt;99201511011200000000222000&lt;/revision_date&gt;&lt;publication_date&gt;99201601201200000000222000&lt;/publication_date&gt;&lt;url&gt;http://doi.wiley.com/10.1111/biom.12473&lt;/url&gt;&lt;type&gt;400&lt;/type&gt;&lt;title&gt;Estimation and interpretation of heterogeneous vaccine efficacy against recurrent infections.&lt;/title&gt;&lt;submission_date&gt;99201406011200000000222000&lt;/submission_date&gt;&lt;institution&gt;Department of Health Protection, National Institute for Health and Welfare, Helsinki, Finland.&lt;/institution&gt;&lt;subtype&gt;400&lt;/subtype&gt;&lt;endpage&gt;n/a&lt;/endpage&gt;&lt;bundle&gt;&lt;publication&gt;&lt;title&gt;Biometrics&lt;/title&gt;&lt;type&gt;-100&lt;/type&gt;&lt;subtype&gt;-100&lt;/subtype&gt;&lt;uuid&gt;BC05DCE4-1919-4216-A46D-8CB8BC8A341A&lt;/uuid&gt;&lt;/publication&gt;&lt;/bundle&gt;&lt;authors&gt;&lt;author&gt;&lt;firstName&gt;Juha&lt;/firstName&gt;&lt;lastName&gt;Mehtälä&lt;/lastName&gt;&lt;/author&gt;&lt;author&gt;&lt;firstName&gt;Ron&lt;/firstName&gt;&lt;lastName&gt;Dagan&lt;/lastName&gt;&lt;/author&gt;&lt;author&gt;&lt;firstName&gt;Kari&lt;/firstName&gt;&lt;lastName&gt;Auranen&lt;/lastName&gt;&lt;/author&gt;&lt;/authors&gt;&lt;/publication&gt;&lt;/publications&gt;&lt;cites&gt;&lt;/cites&gt;&lt;/citation&gt;</w:instrText>
      </w:r>
      <w:r w:rsidR="001A76C0">
        <w:fldChar w:fldCharType="separate"/>
      </w:r>
      <w:r w:rsidR="001A76C0">
        <w:rPr>
          <w:rFonts w:ascii="Cambria" w:hAnsi="Cambria" w:cs="Cambria"/>
        </w:rPr>
        <w:t>(2)</w:t>
      </w:r>
      <w:r w:rsidR="001A76C0">
        <w:fldChar w:fldCharType="end"/>
      </w:r>
      <w:r w:rsidR="001A76C0">
        <w:t>.</w:t>
      </w:r>
      <w:r w:rsidR="008E7AAA">
        <w:t xml:space="preserve">  </w:t>
      </w:r>
    </w:p>
    <w:p w14:paraId="6CC706A2" w14:textId="77777777" w:rsidR="008E7AAA" w:rsidRDefault="008E7AAA" w:rsidP="008E7AAA"/>
    <w:p w14:paraId="2D97B621" w14:textId="47DD930C" w:rsidR="008E7AAA" w:rsidRDefault="008E7AAA" w:rsidP="008E7AAA">
      <w:r>
        <w:t xml:space="preserve">If this model is true, then we have a surrogate of protection (the serotype-specific antibody measurement </w:t>
      </w:r>
      <w:r w:rsidRPr="008E7AAA">
        <w:rPr>
          <w:position w:val="-16"/>
        </w:rPr>
        <w:object w:dxaOrig="280" w:dyaOrig="440" w14:anchorId="65DB90F9">
          <v:shape id="_x0000_i1027" type="#_x0000_t75" style="width:14pt;height:22pt" o:ole="">
            <v:imagedata r:id="rId11" o:title=""/>
          </v:shape>
          <o:OLEObject Type="Embed" ProgID="Equation.DSMT4" ShapeID="_x0000_i1027" DrawAspect="Content" ObjectID="_1403875405" r:id="rId12"/>
        </w:object>
      </w:r>
      <w:r>
        <w:t xml:space="preserve"> for each serotype specific hazard </w:t>
      </w:r>
      <w:r w:rsidRPr="008E7AAA">
        <w:rPr>
          <w:position w:val="-16"/>
        </w:rPr>
        <w:object w:dxaOrig="260" w:dyaOrig="440" w14:anchorId="377494A4">
          <v:shape id="_x0000_i1028" type="#_x0000_t75" style="width:13pt;height:22pt" o:ole="">
            <v:imagedata r:id="rId13" o:title=""/>
          </v:shape>
          <o:OLEObject Type="Embed" ProgID="Equation.DSMT4" ShapeID="_x0000_i1028" DrawAspect="Content" ObjectID="_1403875406" r:id="rId14"/>
        </w:object>
      </w:r>
      <w:proofErr w:type="gramStart"/>
      <w:r>
        <w:t xml:space="preserve">  and</w:t>
      </w:r>
      <w:proofErr w:type="gramEnd"/>
      <w:r>
        <w:t xml:space="preserve"> we observe the colonization status which informs us about these hazards. We also have a number of correlates of protection </w:t>
      </w:r>
      <w:r w:rsidR="000440F4" w:rsidRPr="000440F4">
        <w:rPr>
          <w:position w:val="-14"/>
        </w:rPr>
        <w:object w:dxaOrig="820" w:dyaOrig="420" w14:anchorId="3B97F673">
          <v:shape id="_x0000_i1029" type="#_x0000_t75" style="width:41pt;height:21pt" o:ole="">
            <v:imagedata r:id="rId15" o:title=""/>
          </v:shape>
          <o:OLEObject Type="Embed" ProgID="Equation.DSMT4" ShapeID="_x0000_i1029" DrawAspect="Content" ObjectID="_1403875407" r:id="rId16"/>
        </w:object>
      </w:r>
      <w:proofErr w:type="gramStart"/>
      <w:r>
        <w:t xml:space="preserve"> </w:t>
      </w:r>
      <w:r w:rsidR="000440F4">
        <w:t>,</w:t>
      </w:r>
      <w:proofErr w:type="gramEnd"/>
      <w:r w:rsidR="000440F4">
        <w:t xml:space="preserve"> which are not causal for hazard  </w:t>
      </w:r>
      <w:r w:rsidR="000440F4" w:rsidRPr="000440F4">
        <w:rPr>
          <w:position w:val="-16"/>
        </w:rPr>
        <w:object w:dxaOrig="260" w:dyaOrig="440" w14:anchorId="3FE84C89">
          <v:shape id="_x0000_i1030" type="#_x0000_t75" style="width:13pt;height:22pt" o:ole="">
            <v:imagedata r:id="rId17" o:title=""/>
          </v:shape>
          <o:OLEObject Type="Embed" ProgID="Equation.DSMT4" ShapeID="_x0000_i1030" DrawAspect="Content" ObjectID="_1403875408" r:id="rId18"/>
        </w:object>
      </w:r>
      <w:r w:rsidR="000440F4">
        <w:t xml:space="preserve"> </w:t>
      </w:r>
      <w:r w:rsidR="00DC05F5">
        <w:t xml:space="preserve"> but may be correlated with it  because of their common cause X</w:t>
      </w:r>
      <w:r w:rsidR="00DC05F5" w:rsidRPr="004B6967">
        <w:rPr>
          <w:vertAlign w:val="subscript"/>
        </w:rPr>
        <w:t>i</w:t>
      </w:r>
      <w:r w:rsidR="00DC05F5">
        <w:t xml:space="preserve">, the subject’s immune responsiveness (we have analyzed just the </w:t>
      </w:r>
      <w:proofErr w:type="spellStart"/>
      <w:r w:rsidR="00DC05F5">
        <w:t>Rij</w:t>
      </w:r>
      <w:proofErr w:type="spellEnd"/>
      <w:r w:rsidR="00DC05F5">
        <w:t xml:space="preserve"> and seen that responses are very positively correlated across serotypes within an individual).</w:t>
      </w:r>
    </w:p>
    <w:p w14:paraId="10527EF7" w14:textId="77777777" w:rsidR="00DC05F5" w:rsidRDefault="00DC05F5" w:rsidP="008E7AAA"/>
    <w:p w14:paraId="1A5F163B" w14:textId="6AF6101D" w:rsidR="00DC05F5" w:rsidRDefault="00DC05F5" w:rsidP="008E7AAA">
      <w:r>
        <w:t>I believe this model cap</w:t>
      </w:r>
      <w:r w:rsidR="002C118E">
        <w:t xml:space="preserve">tures a general feature </w:t>
      </w:r>
      <w:proofErr w:type="gramStart"/>
      <w:r w:rsidR="002C118E">
        <w:t>of  many</w:t>
      </w:r>
      <w:proofErr w:type="gramEnd"/>
      <w:r w:rsidR="002C118E">
        <w:t xml:space="preserve"> data sets that will be arising during vaccine trials. We have an outcome measure, a high-dimensional (here 12, but in the future 1000s </w:t>
      </w:r>
      <w:r w:rsidR="002C118E">
        <w:fldChar w:fldCharType="begin"/>
      </w:r>
      <w:r w:rsidR="008D06E2">
        <w:instrText xml:space="preserve"> ADDIN PAPERS2_CITATIONS &lt;citation&gt;&lt;uuid&gt;A506C444-85BD-4B19-8045-47E61A0F655A&lt;/uuid&gt;&lt;priority&gt;0&lt;/priority&gt;&lt;publications&gt;&lt;publication&gt;&lt;uuid&gt;5AB2565C-8F7B-4EAA-90F4-0D50DECC4F9F&lt;/uuid&gt;&lt;volume&gt;33&lt;/volume&gt;&lt;accepted_date&gt;99201503231200000000222000&lt;/accepted_date&gt;&lt;doi&gt;10.1016/j.vaccine.2015.03.072&lt;/doi&gt;&lt;startpage&gt;5294&lt;/startpage&gt;&lt;revision_date&gt;99201503111200000000222000&lt;/revision_date&gt;&lt;publication_date&gt;99201509291200000000222000&lt;/publication_date&gt;&lt;url&gt;http://linkinghub.elsevier.com/retrieve/pii/S0264410X15003916&lt;/url&gt;&lt;type&gt;400&lt;/type&gt;&lt;title&gt;Systems vaccinology: Enabling rational vaccine design with systems biological approaches.&lt;/title&gt;&lt;submission_date&gt;99201501301200000000222000&lt;/submission_date&gt;&lt;number&gt;40&lt;/number&gt;&lt;institution&gt;Department of Bioengineering, University of California, San Diego, La Jolla, CA 92093, USA.&lt;/institution&gt;&lt;subtype&gt;400&lt;/subtype&gt;&lt;endpage&gt;5301&lt;/endpage&gt;&lt;bundle&gt;&lt;publication&gt;&lt;title&gt;Vaccine&lt;/title&gt;&lt;type&gt;-100&lt;/type&gt;&lt;subtype&gt;-100&lt;/subtype&gt;&lt;uuid&gt;3D243401-18BC-4D9D-A694-60A5D4DD39A4&lt;/uuid&gt;&lt;/publication&gt;&lt;/bundle&gt;&lt;authors&gt;&lt;author&gt;&lt;firstName&gt;Thomas&lt;/firstName&gt;&lt;lastName&gt;Hagan&lt;/lastName&gt;&lt;/author&gt;&lt;author&gt;&lt;firstName&gt;Helder&lt;/firstName&gt;&lt;middleNames&gt;I&lt;/middleNames&gt;&lt;lastName&gt;Nakaya&lt;/lastName&gt;&lt;/author&gt;&lt;author&gt;&lt;firstName&gt;Shankar&lt;/firstName&gt;&lt;lastName&gt;Subramaniam&lt;/lastName&gt;&lt;/author&gt;&lt;author&gt;&lt;firstName&gt;Bali&lt;/firstName&gt;&lt;lastName&gt;Pulendran&lt;/lastName&gt;&lt;/author&gt;&lt;/authors&gt;&lt;/publication&gt;&lt;/publications&gt;&lt;cites&gt;&lt;/cites&gt;&lt;/citation&gt;</w:instrText>
      </w:r>
      <w:r w:rsidR="002C118E">
        <w:fldChar w:fldCharType="separate"/>
      </w:r>
      <w:r w:rsidR="008D06E2">
        <w:rPr>
          <w:rFonts w:ascii="Cambria" w:hAnsi="Cambria" w:cs="Cambria"/>
        </w:rPr>
        <w:t>(1)</w:t>
      </w:r>
      <w:r w:rsidR="002C118E">
        <w:fldChar w:fldCharType="end"/>
      </w:r>
      <w:r w:rsidR="002C118E">
        <w:t xml:space="preserve">) list of immune correlates of that outcome measure, probably only a small number of which are surrogates. The unique thing about this data set is that we have a strong biological reason to think that there is only one surrogate for protection, and a lot of correlates that are not surrogates. The specific </w:t>
      </w:r>
      <w:r w:rsidR="002C118E">
        <w:lastRenderedPageBreak/>
        <w:t>question here is to model the system we have in front of us, but the more general motivation is to develop approaches for identifying real surrogates statistically.</w:t>
      </w:r>
    </w:p>
    <w:p w14:paraId="1F7DDFFB" w14:textId="77777777" w:rsidR="002C118E" w:rsidRDefault="002C118E" w:rsidP="008E7AAA"/>
    <w:p w14:paraId="006A820A" w14:textId="33CD73FC" w:rsidR="002C118E" w:rsidRDefault="002C118E" w:rsidP="008E7AAA">
      <w:r>
        <w:t xml:space="preserve">Previous work has dealt with some aspects of the problem. </w:t>
      </w:r>
      <w:r w:rsidR="00111963">
        <w:t xml:space="preserve">Without considering the immune response, </w:t>
      </w:r>
      <w:proofErr w:type="spellStart"/>
      <w:r w:rsidR="00111963">
        <w:t>Mehtala</w:t>
      </w:r>
      <w:proofErr w:type="spellEnd"/>
      <w:r w:rsidR="00111963">
        <w:t xml:space="preserve"> et al. have looked at the multiple-serotype estimation of vaccine efficacy, a framework on which we would build </w:t>
      </w:r>
      <w:r w:rsidR="00111963">
        <w:fldChar w:fldCharType="begin"/>
      </w:r>
      <w:r w:rsidR="008D06E2">
        <w:instrText xml:space="preserve"> ADDIN PAPERS2_CITATIONS &lt;citation&gt;&lt;uuid&gt;55F59750-2F45-4612-BD78-2BDA5AA89D06&lt;/uuid&gt;&lt;priority&gt;0&lt;/priority&gt;&lt;publications&gt;&lt;publication&gt;&lt;uuid&gt;C764D012-4979-48EB-A12B-6AC36469DC54&lt;/uuid&gt;&lt;doi&gt;10.1111/biom.12473&lt;/doi&gt;&lt;accepted_date&gt;99201511011200000000222000&lt;/accepted_date&gt;&lt;subtitle&gt;Estimation and Interpretation of Heterogeneous Vaccine Efficacy&lt;/subtitle&gt;&lt;startpage&gt;n/a&lt;/startpage&gt;&lt;revision_date&gt;99201511011200000000222000&lt;/revision_date&gt;&lt;publication_date&gt;99201601201200000000222000&lt;/publication_date&gt;&lt;url&gt;http://doi.wiley.com/10.1111/biom.12473&lt;/url&gt;&lt;type&gt;400&lt;/type&gt;&lt;title&gt;Estimation and interpretation of heterogeneous vaccine efficacy against recurrent infections.&lt;/title&gt;&lt;submission_date&gt;99201406011200000000222000&lt;/submission_date&gt;&lt;institution&gt;Department of Health Protection, National Institute for Health and Welfare, Helsinki, Finland.&lt;/institution&gt;&lt;subtype&gt;400&lt;/subtype&gt;&lt;endpage&gt;n/a&lt;/endpage&gt;&lt;bundle&gt;&lt;publication&gt;&lt;title&gt;Biometrics&lt;/title&gt;&lt;type&gt;-100&lt;/type&gt;&lt;subtype&gt;-100&lt;/subtype&gt;&lt;uuid&gt;BC05DCE4-1919-4216-A46D-8CB8BC8A341A&lt;/uuid&gt;&lt;/publication&gt;&lt;/bundle&gt;&lt;authors&gt;&lt;author&gt;&lt;firstName&gt;Juha&lt;/firstName&gt;&lt;lastName&gt;Mehtälä&lt;/lastName&gt;&lt;/author&gt;&lt;author&gt;&lt;firstName&gt;Ron&lt;/firstName&gt;&lt;lastName&gt;Dagan&lt;/lastName&gt;&lt;/author&gt;&lt;author&gt;&lt;firstName&gt;Kari&lt;/firstName&gt;&lt;lastName&gt;Auranen&lt;/lastName&gt;&lt;/author&gt;&lt;/authors&gt;&lt;/publication&gt;&lt;/publications&gt;&lt;cites&gt;&lt;/cites&gt;&lt;/citation&gt;</w:instrText>
      </w:r>
      <w:r w:rsidR="00111963">
        <w:fldChar w:fldCharType="separate"/>
      </w:r>
      <w:r w:rsidR="008D06E2">
        <w:rPr>
          <w:rFonts w:ascii="Cambria" w:hAnsi="Cambria" w:cs="Cambria"/>
        </w:rPr>
        <w:t>(2)</w:t>
      </w:r>
      <w:r w:rsidR="00111963">
        <w:fldChar w:fldCharType="end"/>
      </w:r>
      <w:r w:rsidR="00111963">
        <w:t xml:space="preserve">. Dagan et al. have shown that serotype-specific antibody measurements correlate with vaccine-induced protection against that serotype </w:t>
      </w:r>
      <w:r w:rsidR="00111963">
        <w:fldChar w:fldCharType="begin"/>
      </w:r>
      <w:r w:rsidR="008D06E2">
        <w:instrText xml:space="preserve"> ADDIN PAPERS2_CITATIONS &lt;citation&gt;&lt;uuid&gt;A706396D-59EA-4255-AB5D-D6ED69E7BD18&lt;/uuid&gt;&lt;priority&gt;0&lt;/priority&gt;&lt;publications&gt;&lt;publication&gt;&lt;uuid&gt;7DB71582-951B-41E7-AAB5-BF40F4439363&lt;/uuid&gt;&lt;volume&gt;192&lt;/volume&gt;&lt;accepted_date&gt;99200503121200000000222000&lt;/accepted_date&gt;&lt;doi&gt;10.1086/431679&lt;/doi&gt;&lt;startpage&gt;367&lt;/startpage&gt;&lt;publication_date&gt;99200508011200000000222000&lt;/publication_date&gt;&lt;url&gt;http://jid.oxfordjournals.org/lookup/doi/10.1086/431679&lt;/url&gt;&lt;citekey&gt;Dagan:2005p49&lt;/citekey&gt;&lt;type&gt;400&lt;/type&gt;&lt;title&gt;Serum serotype-specific pneumococcal anticapsular immunoglobulin g concentrations after immunization with a 9-valent conjugate pneumococcal vaccine correlate with nasopharyngeal acquisition of pneumococcus.&lt;/title&gt;&lt;submission_date&gt;99200412071200000000222000&lt;/submission_date&gt;&lt;number&gt;3&lt;/number&gt;&lt;institution&gt;Pediatric Infectious Disease Unit, Soroka University Medical Center and the Faculty of Health Sciences, Ben-Gurion University of the Negev, Beer-Sheva, Israel. rdagan@bgu.ac.il&lt;/institution&gt;&lt;subtype&gt;400&lt;/subtype&gt;&lt;endpage&gt;376&lt;/endpage&gt;&lt;bundle&gt;&lt;publication&gt;&lt;title&gt;The Journal of infectious diseases&lt;/title&gt;&lt;type&gt;-100&lt;/type&gt;&lt;subtype&gt;-100&lt;/subtype&gt;&lt;uuid&gt;500DC27F-BC4C-4C2D-880D-FCF43C67EFEF&lt;/uuid&gt;&lt;/publication&gt;&lt;/bundle&gt;&lt;authors&gt;&lt;author&gt;&lt;firstName&gt;Ron&lt;/firstName&gt;&lt;lastName&gt;Dagan&lt;/lastName&gt;&lt;/author&gt;&lt;author&gt;&lt;firstName&gt;Noga&lt;/firstName&gt;&lt;lastName&gt;Givon-Lavi&lt;/lastName&gt;&lt;/author&gt;&lt;author&gt;&lt;firstName&gt;Drora&lt;/firstName&gt;&lt;lastName&gt;Fraser&lt;/lastName&gt;&lt;/author&gt;&lt;author&gt;&lt;firstName&gt;Marc&lt;/firstName&gt;&lt;lastName&gt;Lipsitch&lt;/lastName&gt;&lt;/author&gt;&lt;author&gt;&lt;firstName&gt;George&lt;/firstName&gt;&lt;middleNames&gt;R&lt;/middleNames&gt;&lt;lastName&gt;Siber&lt;/lastName&gt;&lt;/author&gt;&lt;author&gt;&lt;firstName&gt;Robert&lt;/firstName&gt;&lt;lastName&gt;Kohberger&lt;/lastName&gt;&lt;/author&gt;&lt;/authors&gt;&lt;/publication&gt;&lt;/publications&gt;&lt;cites&gt;&lt;/cites&gt;&lt;/citation&gt;</w:instrText>
      </w:r>
      <w:r w:rsidR="00111963">
        <w:fldChar w:fldCharType="separate"/>
      </w:r>
      <w:r w:rsidR="008D06E2">
        <w:rPr>
          <w:rFonts w:ascii="Cambria" w:hAnsi="Cambria" w:cs="Cambria"/>
        </w:rPr>
        <w:t>(3)</w:t>
      </w:r>
      <w:r w:rsidR="00111963">
        <w:fldChar w:fldCharType="end"/>
      </w:r>
      <w:r w:rsidR="00111963">
        <w:t xml:space="preserve">, and a new </w:t>
      </w:r>
      <w:proofErr w:type="spellStart"/>
      <w:r w:rsidR="00111963">
        <w:t>analyss</w:t>
      </w:r>
      <w:proofErr w:type="spellEnd"/>
      <w:r w:rsidR="00111963">
        <w:t xml:space="preserve"> showing the same thing in another dataset is in press. We (poster presentation ISPPD 2016) showed strong correlations among the immune responses to different serotypes in vaccinated individuals. The new work to be done would be:</w:t>
      </w:r>
    </w:p>
    <w:p w14:paraId="375A08D2" w14:textId="77777777" w:rsidR="00111963" w:rsidRDefault="00111963" w:rsidP="008E7AAA"/>
    <w:p w14:paraId="700D4267" w14:textId="329BAE1E" w:rsidR="00111963" w:rsidRDefault="00111963" w:rsidP="00111963">
      <w:pPr>
        <w:pStyle w:val="ListParagraph"/>
        <w:numPr>
          <w:ilvl w:val="0"/>
          <w:numId w:val="1"/>
        </w:numPr>
      </w:pPr>
      <w:r>
        <w:t xml:space="preserve">Set up an inference framework that generalizes </w:t>
      </w:r>
      <w:r>
        <w:fldChar w:fldCharType="begin"/>
      </w:r>
      <w:r w:rsidR="008D06E2">
        <w:instrText xml:space="preserve"> ADDIN PAPERS2_CITATIONS &lt;citation&gt;&lt;uuid&gt;7069C636-8B93-49C0-886B-E57B6AC141DF&lt;/uuid&gt;&lt;priority&gt;0&lt;/priority&gt;&lt;publications&gt;&lt;publication&gt;&lt;uuid&gt;C764D012-4979-48EB-A12B-6AC36469DC54&lt;/uuid&gt;&lt;doi&gt;10.1111/biom.12473&lt;/doi&gt;&lt;accepted_date&gt;99201511011200000000222000&lt;/accepted_date&gt;&lt;subtitle&gt;Estimation and Interpretation of Heterogeneous Vaccine Efficacy&lt;/subtitle&gt;&lt;startpage&gt;n/a&lt;/startpage&gt;&lt;revision_date&gt;99201511011200000000222000&lt;/revision_date&gt;&lt;publication_date&gt;99201601201200000000222000&lt;/publication_date&gt;&lt;url&gt;http://doi.wiley.com/10.1111/biom.12473&lt;/url&gt;&lt;type&gt;400&lt;/type&gt;&lt;title&gt;Estimation and interpretation of heterogeneous vaccine efficacy against recurrent infections.&lt;/title&gt;&lt;submission_date&gt;99201406011200000000222000&lt;/submission_date&gt;&lt;institution&gt;Department of Health Protection, National Institute for Health and Welfare, Helsinki, Finland.&lt;/institution&gt;&lt;subtype&gt;400&lt;/subtype&gt;&lt;endpage&gt;n/a&lt;/endpage&gt;&lt;bundle&gt;&lt;publication&gt;&lt;title&gt;Biometrics&lt;/title&gt;&lt;type&gt;-100&lt;/type&gt;&lt;subtype&gt;-100&lt;/subtype&gt;&lt;uuid&gt;BC05DCE4-1919-4216-A46D-8CB8BC8A341A&lt;/uuid&gt;&lt;/publication&gt;&lt;/bundle&gt;&lt;authors&gt;&lt;author&gt;&lt;firstName&gt;Juha&lt;/firstName&gt;&lt;lastName&gt;Mehtälä&lt;/lastName&gt;&lt;/author&gt;&lt;author&gt;&lt;firstName&gt;Ron&lt;/firstName&gt;&lt;lastName&gt;Dagan&lt;/lastName&gt;&lt;/author&gt;&lt;author&gt;&lt;firstName&gt;Kari&lt;/firstName&gt;&lt;lastName&gt;Auranen&lt;/lastName&gt;&lt;/author&gt;&lt;/authors&gt;&lt;/publication&gt;&lt;/publications&gt;&lt;cites&gt;&lt;/cites&gt;&lt;/citation&gt;</w:instrText>
      </w:r>
      <w:r>
        <w:fldChar w:fldCharType="separate"/>
      </w:r>
      <w:r w:rsidR="008D06E2">
        <w:rPr>
          <w:rFonts w:ascii="Cambria" w:hAnsi="Cambria" w:cs="Cambria"/>
        </w:rPr>
        <w:t>(2)</w:t>
      </w:r>
      <w:r>
        <w:fldChar w:fldCharType="end"/>
      </w:r>
      <w:r>
        <w:t xml:space="preserve"> to include simultaneous inference of the vaccine efficacy distribution and the impact of serotype-specific vaccine immunogenicity on vaccine efficacy</w:t>
      </w:r>
    </w:p>
    <w:p w14:paraId="3652D040" w14:textId="12239308" w:rsidR="00FD0A35" w:rsidRDefault="00111963" w:rsidP="00FD0A35">
      <w:pPr>
        <w:pStyle w:val="ListParagraph"/>
        <w:numPr>
          <w:ilvl w:val="0"/>
          <w:numId w:val="1"/>
        </w:numPr>
      </w:pPr>
      <w:r>
        <w:t xml:space="preserve">Compare this estimation to </w:t>
      </w:r>
      <w:r w:rsidR="00A479C1">
        <w:t>the separate e</w:t>
      </w:r>
      <w:r w:rsidR="00FD0A35">
        <w:t xml:space="preserve">stimation of serotype-specific VE </w:t>
      </w:r>
      <w:r w:rsidR="00FD0A35">
        <w:fldChar w:fldCharType="begin"/>
      </w:r>
      <w:r w:rsidR="008D06E2">
        <w:instrText xml:space="preserve"> ADDIN PAPERS2_CITATIONS &lt;citation&gt;&lt;uuid&gt;759787D5-B9F5-4032-A7E9-9CF078059B8E&lt;/uuid&gt;&lt;priority&gt;0&lt;/priority&gt;&lt;publications&gt;&lt;publication&gt;&lt;uuid&gt;C764D012-4979-48EB-A12B-6AC36469DC54&lt;/uuid&gt;&lt;doi&gt;10.1111/biom.12473&lt;/doi&gt;&lt;accepted_date&gt;99201511011200000000222000&lt;/accepted_date&gt;&lt;subtitle&gt;Estimation and Interpretation of Heterogeneous Vaccine Efficacy&lt;/subtitle&gt;&lt;startpage&gt;n/a&lt;/startpage&gt;&lt;revision_date&gt;99201511011200000000222000&lt;/revision_date&gt;&lt;publication_date&gt;99201601201200000000222000&lt;/publication_date&gt;&lt;url&gt;http://doi.wiley.com/10.1111/biom.12473&lt;/url&gt;&lt;type&gt;400&lt;/type&gt;&lt;title&gt;Estimation and interpretation of heterogeneous vaccine efficacy against recurrent infections.&lt;/title&gt;&lt;submission_date&gt;99201406011200000000222000&lt;/submission_date&gt;&lt;institution&gt;Department of Health Protection, National Institute for Health and Welfare, Helsinki, Finland.&lt;/institution&gt;&lt;subtype&gt;400&lt;/subtype&gt;&lt;endpage&gt;n/a&lt;/endpage&gt;&lt;bundle&gt;&lt;publication&gt;&lt;title&gt;Biometrics&lt;/title&gt;&lt;type&gt;-100&lt;/type&gt;&lt;subtype&gt;-100&lt;/subtype&gt;&lt;uuid&gt;BC05DCE4-1919-4216-A46D-8CB8BC8A341A&lt;/uuid&gt;&lt;/publication&gt;&lt;/bundle&gt;&lt;authors&gt;&lt;author&gt;&lt;firstName&gt;Juha&lt;/firstName&gt;&lt;lastName&gt;Mehtälä&lt;/lastName&gt;&lt;/author&gt;&lt;author&gt;&lt;firstName&gt;Ron&lt;/firstName&gt;&lt;lastName&gt;Dagan&lt;/lastName&gt;&lt;/author&gt;&lt;author&gt;&lt;firstName&gt;Kari&lt;/firstName&gt;&lt;lastName&gt;Auranen&lt;/lastName&gt;&lt;/author&gt;&lt;/authors&gt;&lt;/publication&gt;&lt;/publications&gt;&lt;cites&gt;&lt;/cites&gt;&lt;/citation&gt;</w:instrText>
      </w:r>
      <w:r w:rsidR="00FD0A35">
        <w:fldChar w:fldCharType="separate"/>
      </w:r>
      <w:r w:rsidR="008D06E2">
        <w:rPr>
          <w:rFonts w:ascii="Cambria" w:hAnsi="Cambria" w:cs="Cambria"/>
        </w:rPr>
        <w:t>(2)</w:t>
      </w:r>
      <w:r w:rsidR="00FD0A35">
        <w:fldChar w:fldCharType="end"/>
      </w:r>
      <w:r w:rsidR="00A479C1">
        <w:t xml:space="preserve"> and predictors of VE</w:t>
      </w:r>
      <w:r w:rsidR="00FD0A35">
        <w:t xml:space="preserve"> </w:t>
      </w:r>
      <w:r w:rsidR="00FD0A35">
        <w:fldChar w:fldCharType="begin"/>
      </w:r>
      <w:r w:rsidR="008D06E2">
        <w:instrText xml:space="preserve"> ADDIN PAPERS2_CITATIONS &lt;citation&gt;&lt;uuid&gt;8EC062D8-56E2-4860-9368-135DCAEBB37F&lt;/uuid&gt;&lt;priority&gt;0&lt;/priority&gt;&lt;publications&gt;&lt;publication&gt;&lt;uuid&gt;7DB71582-951B-41E7-AAB5-BF40F4439363&lt;/uuid&gt;&lt;volume&gt;192&lt;/volume&gt;&lt;accepted_date&gt;99200503121200000000222000&lt;/accepted_date&gt;&lt;doi&gt;10.1086/431679&lt;/doi&gt;&lt;startpage&gt;367&lt;/startpage&gt;&lt;publication_date&gt;99200508011200000000222000&lt;/publication_date&gt;&lt;url&gt;http://jid.oxfordjournals.org/lookup/doi/10.1086/431679&lt;/url&gt;&lt;citekey&gt;Dagan:2005p49&lt;/citekey&gt;&lt;type&gt;400&lt;/type&gt;&lt;title&gt;Serum serotype-specific pneumococcal anticapsular immunoglobulin g concentrations after immunization with a 9-valent conjugate pneumococcal vaccine correlate with nasopharyngeal acquisition of pneumococcus.&lt;/title&gt;&lt;submission_date&gt;99200412071200000000222000&lt;/submission_date&gt;&lt;number&gt;3&lt;/number&gt;&lt;institution&gt;Pediatric Infectious Disease Unit, Soroka University Medical Center and the Faculty of Health Sciences, Ben-Gurion University of the Negev, Beer-Sheva, Israel. rdagan@bgu.ac.il&lt;/institution&gt;&lt;subtype&gt;400&lt;/subtype&gt;&lt;endpage&gt;376&lt;/endpage&gt;&lt;bundle&gt;&lt;publication&gt;&lt;title&gt;The Journal of infectious diseases&lt;/title&gt;&lt;type&gt;-100&lt;/type&gt;&lt;subtype&gt;-100&lt;/subtype&gt;&lt;uuid&gt;500DC27F-BC4C-4C2D-880D-FCF43C67EFEF&lt;/uuid&gt;&lt;/publication&gt;&lt;/bundle&gt;&lt;authors&gt;&lt;author&gt;&lt;firstName&gt;Ron&lt;/firstName&gt;&lt;lastName&gt;Dagan&lt;/lastName&gt;&lt;/author&gt;&lt;author&gt;&lt;firstName&gt;Noga&lt;/firstName&gt;&lt;lastName&gt;Givon-Lavi&lt;/lastName&gt;&lt;/author&gt;&lt;author&gt;&lt;firstName&gt;Drora&lt;/firstName&gt;&lt;lastName&gt;Fraser&lt;/lastName&gt;&lt;/author&gt;&lt;author&gt;&lt;firstName&gt;Marc&lt;/firstName&gt;&lt;lastName&gt;Lipsitch&lt;/lastName&gt;&lt;/author&gt;&lt;author&gt;&lt;firstName&gt;George&lt;/firstName&gt;&lt;middleNames&gt;R&lt;/middleNames&gt;&lt;lastName&gt;Siber&lt;/lastName&gt;&lt;/author&gt;&lt;author&gt;&lt;firstName&gt;Robert&lt;/firstName&gt;&lt;lastName&gt;Kohberger&lt;/lastName&gt;&lt;/author&gt;&lt;/authors&gt;&lt;/publication&gt;&lt;/publications&gt;&lt;cites&gt;&lt;/cites&gt;&lt;/citation&gt;</w:instrText>
      </w:r>
      <w:r w:rsidR="00FD0A35">
        <w:fldChar w:fldCharType="separate"/>
      </w:r>
      <w:r w:rsidR="008D06E2">
        <w:rPr>
          <w:rFonts w:ascii="Cambria" w:hAnsi="Cambria" w:cs="Cambria"/>
        </w:rPr>
        <w:t>(3)</w:t>
      </w:r>
      <w:r w:rsidR="00FD0A35">
        <w:fldChar w:fldCharType="end"/>
      </w:r>
      <w:r w:rsidR="00AE1D9F">
        <w:t>.</w:t>
      </w:r>
      <w:r w:rsidR="00FD0A35">
        <w:t xml:space="preserve"> Does this improve efficiency or reduce bias for either of the </w:t>
      </w:r>
      <w:proofErr w:type="spellStart"/>
      <w:r w:rsidR="00FD0A35">
        <w:t>estimands</w:t>
      </w:r>
      <w:proofErr w:type="spellEnd"/>
      <w:r w:rsidR="00FD0A35">
        <w:t xml:space="preserve">? In particular the approach of </w:t>
      </w:r>
      <w:r w:rsidR="00FD0A35">
        <w:fldChar w:fldCharType="begin"/>
      </w:r>
      <w:r w:rsidR="008D06E2">
        <w:instrText xml:space="preserve"> ADDIN PAPERS2_CITATIONS &lt;citation&gt;&lt;uuid&gt;BEB53A76-B664-4564-9C48-99825BBDD19E&lt;/uuid&gt;&lt;priority&gt;0&lt;/priority&gt;&lt;publications&gt;&lt;publication&gt;&lt;uuid&gt;7DB71582-951B-41E7-AAB5-BF40F4439363&lt;/uuid&gt;&lt;volume&gt;192&lt;/volume&gt;&lt;accepted_date&gt;99200503121200000000222000&lt;/accepted_date&gt;&lt;doi&gt;10.1086/431679&lt;/doi&gt;&lt;startpage&gt;367&lt;/startpage&gt;&lt;publication_date&gt;99200508011200000000222000&lt;/publication_date&gt;&lt;url&gt;http://jid.oxfordjournals.org/lookup/doi/10.1086/431679&lt;/url&gt;&lt;citekey&gt;Dagan:2005p49&lt;/citekey&gt;&lt;type&gt;400&lt;/type&gt;&lt;title&gt;Serum serotype-specific pneumococcal anticapsular immunoglobulin g concentrations after immunization with a 9-valent conjugate pneumococcal vaccine correlate with nasopharyngeal acquisition of pneumococcus.&lt;/title&gt;&lt;submission_date&gt;99200412071200000000222000&lt;/submission_date&gt;&lt;number&gt;3&lt;/number&gt;&lt;institution&gt;Pediatric Infectious Disease Unit, Soroka University Medical Center and the Faculty of Health Sciences, Ben-Gurion University of the Negev, Beer-Sheva, Israel. rdagan@bgu.ac.il&lt;/institution&gt;&lt;subtype&gt;400&lt;/subtype&gt;&lt;endpage&gt;376&lt;/endpage&gt;&lt;bundle&gt;&lt;publication&gt;&lt;title&gt;The Journal of infectious diseases&lt;/title&gt;&lt;type&gt;-100&lt;/type&gt;&lt;subtype&gt;-100&lt;/subtype&gt;&lt;uuid&gt;500DC27F-BC4C-4C2D-880D-FCF43C67EFEF&lt;/uuid&gt;&lt;/publication&gt;&lt;/bundle&gt;&lt;authors&gt;&lt;author&gt;&lt;firstName&gt;Ron&lt;/firstName&gt;&lt;lastName&gt;Dagan&lt;/lastName&gt;&lt;/author&gt;&lt;author&gt;&lt;firstName&gt;Noga&lt;/firstName&gt;&lt;lastName&gt;Givon-Lavi&lt;/lastName&gt;&lt;/author&gt;&lt;author&gt;&lt;firstName&gt;Drora&lt;/firstName&gt;&lt;lastName&gt;Fraser&lt;/lastName&gt;&lt;/author&gt;&lt;author&gt;&lt;firstName&gt;Marc&lt;/firstName&gt;&lt;lastName&gt;Lipsitch&lt;/lastName&gt;&lt;/author&gt;&lt;author&gt;&lt;firstName&gt;George&lt;/firstName&gt;&lt;middleNames&gt;R&lt;/middleNames&gt;&lt;lastName&gt;Siber&lt;/lastName&gt;&lt;/author&gt;&lt;author&gt;&lt;firstName&gt;Robert&lt;/firstName&gt;&lt;lastName&gt;Kohberger&lt;/lastName&gt;&lt;/author&gt;&lt;/authors&gt;&lt;/publication&gt;&lt;/publications&gt;&lt;cites&gt;&lt;/cites&gt;&lt;/citation&gt;</w:instrText>
      </w:r>
      <w:r w:rsidR="00FD0A35">
        <w:fldChar w:fldCharType="separate"/>
      </w:r>
      <w:r w:rsidR="008D06E2">
        <w:rPr>
          <w:rFonts w:ascii="Cambria" w:hAnsi="Cambria" w:cs="Cambria"/>
        </w:rPr>
        <w:t>(3)</w:t>
      </w:r>
      <w:r w:rsidR="00FD0A35">
        <w:fldChar w:fldCharType="end"/>
      </w:r>
      <w:r w:rsidR="00FD0A35">
        <w:t xml:space="preserve"> probably underestimates the magnitude of the correlation between serotype-specific immune response </w:t>
      </w:r>
      <w:proofErr w:type="spellStart"/>
      <w:r w:rsidR="00FD0A35">
        <w:t>Rj</w:t>
      </w:r>
      <w:proofErr w:type="spellEnd"/>
      <w:r w:rsidR="00FD0A35">
        <w:t xml:space="preserve"> and serotype-specific efficacy because serotype-specific response </w:t>
      </w:r>
      <w:proofErr w:type="spellStart"/>
      <w:r w:rsidR="00FD0A35">
        <w:t>Rj</w:t>
      </w:r>
      <w:proofErr w:type="spellEnd"/>
      <w:r w:rsidR="00FD0A35">
        <w:t xml:space="preserve"> is positively correlated with other serotype-specific responses </w:t>
      </w:r>
      <w:proofErr w:type="spellStart"/>
      <w:r w:rsidR="00FD0A35">
        <w:t>Rk</w:t>
      </w:r>
      <w:proofErr w:type="spellEnd"/>
      <w:r w:rsidR="00FD0A35">
        <w:t xml:space="preserve">, which are negatively correlated with hazards </w:t>
      </w:r>
      <w:proofErr w:type="spellStart"/>
      <w:r w:rsidR="00FD0A35">
        <w:t>Fk</w:t>
      </w:r>
      <w:proofErr w:type="spellEnd"/>
      <w:r w:rsidR="00FD0A35">
        <w:t>, which compete with the outcome C=j – thus people who have strong immune responses are more protected against all serotypes, but since the serotypes are competing risks the effect of immune response on any individual serotype will be attenuated by correlated effects on competing serotypes.</w:t>
      </w:r>
    </w:p>
    <w:p w14:paraId="06425D2D" w14:textId="0682BEAD" w:rsidR="00A479C1" w:rsidRDefault="00A479C1" w:rsidP="00111963">
      <w:pPr>
        <w:pStyle w:val="ListParagraph"/>
        <w:numPr>
          <w:ilvl w:val="0"/>
          <w:numId w:val="1"/>
        </w:numPr>
      </w:pPr>
      <w:r>
        <w:t>Assess whether the inference method can “tell” that serotype-specific measurements are surrogates while other serotype-specific responses are only correlates</w:t>
      </w:r>
    </w:p>
    <w:p w14:paraId="632E6919" w14:textId="3A8B97D9" w:rsidR="00A479C1" w:rsidRDefault="00A479C1" w:rsidP="00111963">
      <w:pPr>
        <w:pStyle w:val="ListParagraph"/>
        <w:numPr>
          <w:ilvl w:val="0"/>
          <w:numId w:val="1"/>
        </w:numPr>
      </w:pPr>
      <w:r>
        <w:t>Assess whether (due to measurement error) a summary of all-serotype responses is more predictive of protection than is serotype-specific response (because the former has less measurement error)</w:t>
      </w:r>
      <w:r w:rsidR="00AE1D9F">
        <w:t>.</w:t>
      </w:r>
    </w:p>
    <w:p w14:paraId="7373BFA2" w14:textId="63A4E46F" w:rsidR="00AE1D9F" w:rsidRDefault="00AE1D9F" w:rsidP="00111963">
      <w:pPr>
        <w:pStyle w:val="ListParagraph"/>
        <w:numPr>
          <w:ilvl w:val="0"/>
          <w:numId w:val="1"/>
        </w:numPr>
      </w:pPr>
      <w:r>
        <w:t>Consider ways to generalize this to other ways of measuring the outcome (directly measuring hazard or risk, vs. this complex outcome that is a composite due to competition between the serotypes)</w:t>
      </w:r>
    </w:p>
    <w:p w14:paraId="17693958" w14:textId="77777777" w:rsidR="008D06E2" w:rsidRDefault="00744207">
      <w:r>
        <w:t xml:space="preserve"> </w:t>
      </w:r>
    </w:p>
    <w:p w14:paraId="626BA4C6" w14:textId="14471275" w:rsidR="004B6967" w:rsidRDefault="004B6967">
      <w:r>
        <w:br w:type="page"/>
      </w:r>
    </w:p>
    <w:p w14:paraId="059BBCC4" w14:textId="77777777" w:rsidR="008D06E2" w:rsidRDefault="008D06E2"/>
    <w:p w14:paraId="5833FAE3" w14:textId="77777777" w:rsidR="008D06E2" w:rsidRDefault="008D06E2" w:rsidP="008D06E2">
      <w:pPr>
        <w:widowControl w:val="0"/>
        <w:tabs>
          <w:tab w:val="left" w:pos="480"/>
        </w:tabs>
        <w:autoSpaceDE w:val="0"/>
        <w:autoSpaceDN w:val="0"/>
        <w:adjustRightInd w:val="0"/>
        <w:spacing w:after="240"/>
        <w:ind w:left="480" w:hanging="480"/>
        <w:rPr>
          <w:rFonts w:ascii="Cambria" w:hAnsi="Cambria" w:cs="Cambria"/>
        </w:rPr>
      </w:pPr>
      <w:r>
        <w:fldChar w:fldCharType="begin"/>
      </w:r>
      <w:r>
        <w:instrText xml:space="preserve"> ADDIN PAPERS2_CITATIONS &lt;papers2_bibliography/&gt;</w:instrText>
      </w:r>
      <w:r>
        <w:fldChar w:fldCharType="separate"/>
      </w:r>
      <w:r>
        <w:rPr>
          <w:rFonts w:ascii="Cambria" w:hAnsi="Cambria" w:cs="Cambria"/>
        </w:rPr>
        <w:t>1.</w:t>
      </w:r>
      <w:r>
        <w:rPr>
          <w:rFonts w:ascii="Cambria" w:hAnsi="Cambria" w:cs="Cambria"/>
        </w:rPr>
        <w:tab/>
      </w:r>
      <w:r>
        <w:rPr>
          <w:rFonts w:ascii="Cambria" w:hAnsi="Cambria" w:cs="Cambria"/>
          <w:b/>
          <w:bCs/>
        </w:rPr>
        <w:t>Hagan T</w:t>
      </w:r>
      <w:r>
        <w:rPr>
          <w:rFonts w:ascii="Cambria" w:hAnsi="Cambria" w:cs="Cambria"/>
        </w:rPr>
        <w:t xml:space="preserve">, </w:t>
      </w:r>
      <w:r>
        <w:rPr>
          <w:rFonts w:ascii="Cambria" w:hAnsi="Cambria" w:cs="Cambria"/>
          <w:b/>
          <w:bCs/>
        </w:rPr>
        <w:t>Nakaya HI</w:t>
      </w:r>
      <w:r>
        <w:rPr>
          <w:rFonts w:ascii="Cambria" w:hAnsi="Cambria" w:cs="Cambria"/>
        </w:rPr>
        <w:t xml:space="preserve">, </w:t>
      </w:r>
      <w:r>
        <w:rPr>
          <w:rFonts w:ascii="Cambria" w:hAnsi="Cambria" w:cs="Cambria"/>
          <w:b/>
          <w:bCs/>
        </w:rPr>
        <w:t>Subramaniam S</w:t>
      </w:r>
      <w:r>
        <w:rPr>
          <w:rFonts w:ascii="Cambria" w:hAnsi="Cambria" w:cs="Cambria"/>
        </w:rPr>
        <w:t xml:space="preserve">, </w:t>
      </w:r>
      <w:r>
        <w:rPr>
          <w:rFonts w:ascii="Cambria" w:hAnsi="Cambria" w:cs="Cambria"/>
          <w:b/>
          <w:bCs/>
        </w:rPr>
        <w:t>Pulendran B</w:t>
      </w:r>
      <w:r>
        <w:rPr>
          <w:rFonts w:ascii="Cambria" w:hAnsi="Cambria" w:cs="Cambria"/>
        </w:rPr>
        <w:t xml:space="preserve">. 2015. Systems vaccinology: Enabling rational vaccine design with systems biological approaches. Vaccine </w:t>
      </w:r>
      <w:r>
        <w:rPr>
          <w:rFonts w:ascii="Cambria" w:hAnsi="Cambria" w:cs="Cambria"/>
          <w:b/>
          <w:bCs/>
        </w:rPr>
        <w:t>33</w:t>
      </w:r>
      <w:r>
        <w:rPr>
          <w:rFonts w:ascii="Cambria" w:hAnsi="Cambria" w:cs="Cambria"/>
        </w:rPr>
        <w:t>:5294–5301.</w:t>
      </w:r>
    </w:p>
    <w:p w14:paraId="5D2CC4FC" w14:textId="77777777" w:rsidR="008D06E2" w:rsidRDefault="008D06E2" w:rsidP="008D06E2">
      <w:pPr>
        <w:widowControl w:val="0"/>
        <w:tabs>
          <w:tab w:val="left" w:pos="480"/>
        </w:tabs>
        <w:autoSpaceDE w:val="0"/>
        <w:autoSpaceDN w:val="0"/>
        <w:adjustRightInd w:val="0"/>
        <w:spacing w:after="240"/>
        <w:ind w:left="480" w:hanging="480"/>
        <w:rPr>
          <w:rFonts w:ascii="Cambria" w:hAnsi="Cambria" w:cs="Cambria"/>
        </w:rPr>
      </w:pPr>
      <w:r>
        <w:rPr>
          <w:rFonts w:ascii="Cambria" w:hAnsi="Cambria" w:cs="Cambria"/>
        </w:rPr>
        <w:t>2.</w:t>
      </w:r>
      <w:r>
        <w:rPr>
          <w:rFonts w:ascii="Cambria" w:hAnsi="Cambria" w:cs="Cambria"/>
        </w:rPr>
        <w:tab/>
      </w:r>
      <w:r>
        <w:rPr>
          <w:rFonts w:ascii="Cambria" w:hAnsi="Cambria" w:cs="Cambria"/>
          <w:b/>
          <w:bCs/>
        </w:rPr>
        <w:t>Mehtälä J</w:t>
      </w:r>
      <w:r>
        <w:rPr>
          <w:rFonts w:ascii="Cambria" w:hAnsi="Cambria" w:cs="Cambria"/>
        </w:rPr>
        <w:t xml:space="preserve">, </w:t>
      </w:r>
      <w:r>
        <w:rPr>
          <w:rFonts w:ascii="Cambria" w:hAnsi="Cambria" w:cs="Cambria"/>
          <w:b/>
          <w:bCs/>
        </w:rPr>
        <w:t>Dagan R</w:t>
      </w:r>
      <w:r>
        <w:rPr>
          <w:rFonts w:ascii="Cambria" w:hAnsi="Cambria" w:cs="Cambria"/>
        </w:rPr>
        <w:t xml:space="preserve">, </w:t>
      </w:r>
      <w:r>
        <w:rPr>
          <w:rFonts w:ascii="Cambria" w:hAnsi="Cambria" w:cs="Cambria"/>
          <w:b/>
          <w:bCs/>
        </w:rPr>
        <w:t>Auranen K</w:t>
      </w:r>
      <w:r>
        <w:rPr>
          <w:rFonts w:ascii="Cambria" w:hAnsi="Cambria" w:cs="Cambria"/>
        </w:rPr>
        <w:t>. 2016. Estimation and interpretation of heterogeneous vaccine efficacy against recurrent infections. Biometrics n/a–n/a.</w:t>
      </w:r>
    </w:p>
    <w:p w14:paraId="198DCE51" w14:textId="77777777" w:rsidR="008D06E2" w:rsidRDefault="008D06E2" w:rsidP="008D06E2">
      <w:pPr>
        <w:widowControl w:val="0"/>
        <w:tabs>
          <w:tab w:val="left" w:pos="480"/>
        </w:tabs>
        <w:autoSpaceDE w:val="0"/>
        <w:autoSpaceDN w:val="0"/>
        <w:adjustRightInd w:val="0"/>
        <w:spacing w:after="240"/>
        <w:ind w:left="480" w:hanging="480"/>
        <w:rPr>
          <w:rFonts w:ascii="Cambria" w:hAnsi="Cambria" w:cs="Cambria"/>
        </w:rPr>
      </w:pPr>
      <w:r>
        <w:rPr>
          <w:rFonts w:ascii="Cambria" w:hAnsi="Cambria" w:cs="Cambria"/>
        </w:rPr>
        <w:t>3.</w:t>
      </w:r>
      <w:r>
        <w:rPr>
          <w:rFonts w:ascii="Cambria" w:hAnsi="Cambria" w:cs="Cambria"/>
        </w:rPr>
        <w:tab/>
      </w:r>
      <w:r>
        <w:rPr>
          <w:rFonts w:ascii="Cambria" w:hAnsi="Cambria" w:cs="Cambria"/>
          <w:b/>
          <w:bCs/>
        </w:rPr>
        <w:t>Dagan R</w:t>
      </w:r>
      <w:r>
        <w:rPr>
          <w:rFonts w:ascii="Cambria" w:hAnsi="Cambria" w:cs="Cambria"/>
        </w:rPr>
        <w:t xml:space="preserve">, </w:t>
      </w:r>
      <w:r>
        <w:rPr>
          <w:rFonts w:ascii="Cambria" w:hAnsi="Cambria" w:cs="Cambria"/>
          <w:b/>
          <w:bCs/>
        </w:rPr>
        <w:t>Givon-Lavi N</w:t>
      </w:r>
      <w:r>
        <w:rPr>
          <w:rFonts w:ascii="Cambria" w:hAnsi="Cambria" w:cs="Cambria"/>
        </w:rPr>
        <w:t xml:space="preserve">, </w:t>
      </w:r>
      <w:r>
        <w:rPr>
          <w:rFonts w:ascii="Cambria" w:hAnsi="Cambria" w:cs="Cambria"/>
          <w:b/>
          <w:bCs/>
        </w:rPr>
        <w:t>Fraser D</w:t>
      </w:r>
      <w:r>
        <w:rPr>
          <w:rFonts w:ascii="Cambria" w:hAnsi="Cambria" w:cs="Cambria"/>
        </w:rPr>
        <w:t xml:space="preserve">, </w:t>
      </w:r>
      <w:r>
        <w:rPr>
          <w:rFonts w:ascii="Cambria" w:hAnsi="Cambria" w:cs="Cambria"/>
          <w:b/>
          <w:bCs/>
        </w:rPr>
        <w:t>Lipsitch M</w:t>
      </w:r>
      <w:r>
        <w:rPr>
          <w:rFonts w:ascii="Cambria" w:hAnsi="Cambria" w:cs="Cambria"/>
        </w:rPr>
        <w:t xml:space="preserve">, </w:t>
      </w:r>
      <w:r>
        <w:rPr>
          <w:rFonts w:ascii="Cambria" w:hAnsi="Cambria" w:cs="Cambria"/>
          <w:b/>
          <w:bCs/>
        </w:rPr>
        <w:t>Siber GR</w:t>
      </w:r>
      <w:r>
        <w:rPr>
          <w:rFonts w:ascii="Cambria" w:hAnsi="Cambria" w:cs="Cambria"/>
        </w:rPr>
        <w:t xml:space="preserve">, </w:t>
      </w:r>
      <w:r>
        <w:rPr>
          <w:rFonts w:ascii="Cambria" w:hAnsi="Cambria" w:cs="Cambria"/>
          <w:b/>
          <w:bCs/>
        </w:rPr>
        <w:t>Kohberger R</w:t>
      </w:r>
      <w:r>
        <w:rPr>
          <w:rFonts w:ascii="Cambria" w:hAnsi="Cambria" w:cs="Cambria"/>
        </w:rPr>
        <w:t xml:space="preserve">. 2005. Serum serotype-specific pneumococcal anticapsular immunoglobulin g concentrations after immunization with a 9-valent conjugate pneumococcal vaccine correlate with nasopharyngeal acquisition of pneumococcus. J Infect Dis </w:t>
      </w:r>
      <w:r>
        <w:rPr>
          <w:rFonts w:ascii="Cambria" w:hAnsi="Cambria" w:cs="Cambria"/>
          <w:b/>
          <w:bCs/>
        </w:rPr>
        <w:t>192</w:t>
      </w:r>
      <w:r>
        <w:rPr>
          <w:rFonts w:ascii="Cambria" w:hAnsi="Cambria" w:cs="Cambria"/>
        </w:rPr>
        <w:t>:367–376.</w:t>
      </w:r>
    </w:p>
    <w:p w14:paraId="0049092C" w14:textId="1DF6B951" w:rsidR="00744207" w:rsidRDefault="008D06E2">
      <w:r>
        <w:fldChar w:fldCharType="end"/>
      </w:r>
    </w:p>
    <w:sectPr w:rsidR="00744207" w:rsidSect="00F52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00000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8586B"/>
    <w:multiLevelType w:val="hybridMultilevel"/>
    <w:tmpl w:val="7C7E8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DA9"/>
    <w:rsid w:val="000440F4"/>
    <w:rsid w:val="00111963"/>
    <w:rsid w:val="001A76C0"/>
    <w:rsid w:val="002C118E"/>
    <w:rsid w:val="004B6967"/>
    <w:rsid w:val="004F0DA9"/>
    <w:rsid w:val="006740DD"/>
    <w:rsid w:val="00744207"/>
    <w:rsid w:val="00801907"/>
    <w:rsid w:val="008D06E2"/>
    <w:rsid w:val="008E7AAA"/>
    <w:rsid w:val="00A479C1"/>
    <w:rsid w:val="00AE1D9F"/>
    <w:rsid w:val="00CD449E"/>
    <w:rsid w:val="00D30E58"/>
    <w:rsid w:val="00D467F8"/>
    <w:rsid w:val="00DC05F5"/>
    <w:rsid w:val="00F527F8"/>
    <w:rsid w:val="00F97ECA"/>
    <w:rsid w:val="00FD0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1"/>
    <o:shapelayout v:ext="edit">
      <o:idmap v:ext="edit" data="1"/>
    </o:shapelayout>
  </w:shapeDefaults>
  <w:decimalSymbol w:val="."/>
  <w:listSeparator w:val=","/>
  <w14:docId w14:val="543DA1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20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442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207"/>
    <w:rPr>
      <w:rFonts w:ascii="Lucida Grande" w:hAnsi="Lucida Grande" w:cs="Lucida Grande"/>
      <w:sz w:val="18"/>
      <w:szCs w:val="18"/>
    </w:rPr>
  </w:style>
  <w:style w:type="paragraph" w:styleId="ListParagraph">
    <w:name w:val="List Paragraph"/>
    <w:basedOn w:val="Normal"/>
    <w:uiPriority w:val="34"/>
    <w:qFormat/>
    <w:rsid w:val="001119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20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442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207"/>
    <w:rPr>
      <w:rFonts w:ascii="Lucida Grande" w:hAnsi="Lucida Grande" w:cs="Lucida Grande"/>
      <w:sz w:val="18"/>
      <w:szCs w:val="18"/>
    </w:rPr>
  </w:style>
  <w:style w:type="paragraph" w:styleId="ListParagraph">
    <w:name w:val="List Paragraph"/>
    <w:basedOn w:val="Normal"/>
    <w:uiPriority w:val="34"/>
    <w:qFormat/>
    <w:rsid w:val="00111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4.emf"/><Relationship Id="rId12" Type="http://schemas.openxmlformats.org/officeDocument/2006/relationships/oleObject" Target="embeddings/oleObject3.bin"/><Relationship Id="rId13" Type="http://schemas.openxmlformats.org/officeDocument/2006/relationships/image" Target="media/image5.emf"/><Relationship Id="rId14" Type="http://schemas.openxmlformats.org/officeDocument/2006/relationships/oleObject" Target="embeddings/oleObject4.bin"/><Relationship Id="rId15" Type="http://schemas.openxmlformats.org/officeDocument/2006/relationships/image" Target="media/image6.emf"/><Relationship Id="rId16" Type="http://schemas.openxmlformats.org/officeDocument/2006/relationships/oleObject" Target="embeddings/oleObject5.bin"/><Relationship Id="rId17" Type="http://schemas.openxmlformats.org/officeDocument/2006/relationships/image" Target="media/image7.emf"/><Relationship Id="rId18" Type="http://schemas.openxmlformats.org/officeDocument/2006/relationships/oleObject" Target="embeddings/oleObject6.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2591</Words>
  <Characters>14770</Characters>
  <Application>Microsoft Macintosh Word</Application>
  <DocSecurity>0</DocSecurity>
  <Lines>123</Lines>
  <Paragraphs>34</Paragraphs>
  <ScaleCrop>false</ScaleCrop>
  <Company/>
  <LinksUpToDate>false</LinksUpToDate>
  <CharactersWithSpaces>17327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hsphit</dc:creator>
  <cp:keywords/>
  <dc:description/>
  <cp:lastModifiedBy>Marc Lipsitch</cp:lastModifiedBy>
  <cp:revision>13</cp:revision>
  <dcterms:created xsi:type="dcterms:W3CDTF">2016-07-13T12:29:00Z</dcterms:created>
  <dcterms:modified xsi:type="dcterms:W3CDTF">2016-07-14T20:37:00Z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PAPERS2_INFO_01">
    <vt:lpwstr>&lt;info&gt;&lt;style id="http://www.zotero.org/styles/american-society-for-microbiology"/&gt;&lt;format class="21"/&gt;&lt;count citations="7" publications="3"/&gt;&lt;/info&gt;PAPERS2_INFO_END</vt:lpwstr>
  </property>
</Properties>
</file>