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EC7D" w14:textId="77777777" w:rsidR="00B16CC7" w:rsidRDefault="00000000">
      <w:pPr>
        <w:spacing w:after="35"/>
      </w:pPr>
      <w:r>
        <w:rPr>
          <w:rFonts w:eastAsia="Calibri"/>
          <w:b/>
          <w:bCs/>
          <w:color w:val="2D6EF5"/>
          <w:spacing w:val="30"/>
          <w:sz w:val="15"/>
          <w:szCs w:val="15"/>
        </w:rPr>
        <w:t>BONUS TASK  ·  ONBOARDING METRIC  ·  PRODUCT: THUNKABLE</w:t>
      </w:r>
    </w:p>
    <w:p w14:paraId="73953646" w14:textId="77777777" w:rsidR="00B16CC7" w:rsidRDefault="00000000">
      <w:pPr>
        <w:spacing w:after="48"/>
      </w:pPr>
      <w:r>
        <w:rPr>
          <w:rFonts w:eastAsia="Calibri"/>
          <w:b/>
          <w:bCs/>
          <w:color w:val="111C3A"/>
          <w:sz w:val="31"/>
          <w:szCs w:val="31"/>
        </w:rPr>
        <w:t>First-Session Iteration Rate</w:t>
      </w:r>
    </w:p>
    <w:p w14:paraId="3E50047B" w14:textId="00394C64" w:rsidR="00B16CC7" w:rsidRDefault="00000000">
      <w:pPr>
        <w:pBdr>
          <w:bottom w:val="single" w:sz="6" w:space="8" w:color="DDE3EE"/>
        </w:pBdr>
        <w:spacing w:after="120"/>
      </w:pPr>
      <w:r>
        <w:rPr>
          <w:rFonts w:eastAsia="Calibri"/>
          <w:color w:val="5A6B8C"/>
          <w:sz w:val="17"/>
          <w:szCs w:val="17"/>
        </w:rPr>
        <w:t>Hyun-Bi Park  ·  Sr. Data Analyst Analytical Exercise</w:t>
      </w:r>
    </w:p>
    <w:p w14:paraId="1EC8AFA3" w14:textId="77777777" w:rsidR="00B16CC7" w:rsidRDefault="00000000">
      <w:pPr>
        <w:spacing w:after="88" w:line="244" w:lineRule="auto"/>
      </w:pPr>
      <w:r>
        <w:rPr>
          <w:rFonts w:eastAsia="Calibri"/>
          <w:i/>
          <w:iCs/>
          <w:color w:val="5A6B8C"/>
          <w:sz w:val="18"/>
          <w:szCs w:val="18"/>
        </w:rPr>
        <w:t>I signed up and built an app first: Google sign-in → a three-question intake survey → the prompt box → roughly six minutes of generation → a working preview alongside three suggested follow-ups. I then ran two more prompts. Each generation cost a flat 400 of a 2,000-token free allowance.</w:t>
      </w:r>
    </w:p>
    <w:p w14:paraId="1406C899" w14:textId="77777777" w:rsidR="00B16CC7" w:rsidRDefault="00000000">
      <w:pPr>
        <w:spacing w:before="145" w:after="72"/>
      </w:pPr>
      <w:r>
        <w:rPr>
          <w:rFonts w:eastAsia="Calibri"/>
          <w:b/>
          <w:bCs/>
          <w:color w:val="2D6EF5"/>
          <w:sz w:val="21"/>
          <w:szCs w:val="21"/>
        </w:rPr>
        <w:t xml:space="preserve">1.  </w:t>
      </w:r>
      <w:r>
        <w:rPr>
          <w:rFonts w:eastAsia="Calibri"/>
          <w:b/>
          <w:bCs/>
          <w:color w:val="111C3A"/>
          <w:sz w:val="21"/>
          <w:szCs w:val="21"/>
        </w:rPr>
        <w:t>The metric I would prioritise, and how I would measure it</w:t>
      </w:r>
    </w:p>
    <w:p w14:paraId="634A5AE4" w14:textId="77777777" w:rsidR="00B16CC7" w:rsidRDefault="00000000">
      <w:pPr>
        <w:spacing w:after="98" w:line="244" w:lineRule="auto"/>
      </w:pPr>
      <w:r>
        <w:rPr>
          <w:rFonts w:eastAsia="Calibri"/>
          <w:b/>
          <w:bCs/>
        </w:rPr>
        <w:t>First-Session Iteration Rate</w:t>
      </w:r>
      <w:r>
        <w:rPr>
          <w:rFonts w:eastAsia="Calibri"/>
        </w:rPr>
        <w:t xml:space="preserve"> — the share of new sign-ups who, within their first session, submit a prompt, see the previewed result, and then submit a second prompt.</w:t>
      </w:r>
    </w:p>
    <w:p w14:paraId="368DB758" w14:textId="77777777" w:rsidR="00B16CC7" w:rsidRDefault="00000000">
      <w:pPr>
        <w:spacing w:after="98" w:line="244" w:lineRule="auto"/>
      </w:pPr>
      <w:r>
        <w:rPr>
          <w:rFonts w:eastAsia="Calibri"/>
          <w:b/>
          <w:bCs/>
        </w:rPr>
        <w:t xml:space="preserve">Measurement: </w:t>
      </w:r>
      <w:r>
        <w:rPr>
          <w:rFonts w:eastAsia="Calibri"/>
        </w:rPr>
        <w:t>denominator is all new sign-ups in a weekly cohort; numerator is distinct users whose first session contains that ordered sequence. Session on a 30-minute inactivity boundary, first session only so it measures onboarding rather than persistence, reported as a weekly cohort curve alongside its component steps.</w:t>
      </w:r>
    </w:p>
    <w:p w14:paraId="75BF6EA0" w14:textId="77777777" w:rsidR="00B16CC7" w:rsidRDefault="00000000">
      <w:pPr>
        <w:spacing w:after="45" w:line="244" w:lineRule="auto"/>
      </w:pPr>
      <w:r>
        <w:rPr>
          <w:rFonts w:eastAsia="Calibri"/>
        </w:rPr>
        <w:t xml:space="preserve">Two splits matter more than the headline number. First, chip versus freehand — the product offers three suggested follow-ups, and a chip tap is a far cheaper signal than a user articulating their own change. That split needs a control for whether the freehand box was rendered at all, or a surface-availability problem reads as lack of conviction. Second, the intake survey already captures declared readiness — </w:t>
      </w:r>
      <w:r>
        <w:rPr>
          <w:rFonts w:eastAsia="Calibri"/>
          <w:i/>
          <w:iCs/>
        </w:rPr>
        <w:t>"I know the problem I want to solve"</w:t>
      </w:r>
      <w:r>
        <w:rPr>
          <w:rFonts w:eastAsia="Calibri"/>
        </w:rPr>
        <w:t xml:space="preserve"> through </w:t>
      </w:r>
      <w:r>
        <w:rPr>
          <w:rFonts w:eastAsia="Calibri"/>
          <w:i/>
          <w:iCs/>
        </w:rPr>
        <w:t>"I'm figuring it all out"</w:t>
      </w:r>
      <w:r>
        <w:rPr>
          <w:rFonts w:eastAsia="Calibri"/>
        </w:rPr>
        <w:t xml:space="preserve"> — which should separate iterators from one-and-done users more cleanly than any acquisition-source cut.</w:t>
      </w:r>
    </w:p>
    <w:p w14:paraId="4C03F127" w14:textId="77777777" w:rsidR="00B16CC7" w:rsidRDefault="00000000">
      <w:pPr>
        <w:spacing w:before="145" w:after="72"/>
      </w:pPr>
      <w:r>
        <w:rPr>
          <w:rFonts w:eastAsia="Calibri"/>
          <w:b/>
          <w:bCs/>
          <w:color w:val="2D6EF5"/>
          <w:sz w:val="21"/>
          <w:szCs w:val="21"/>
        </w:rPr>
        <w:t xml:space="preserve">2.  </w:t>
      </w:r>
      <w:r>
        <w:rPr>
          <w:rFonts w:eastAsia="Calibri"/>
          <w:b/>
          <w:bCs/>
          <w:color w:val="111C3A"/>
          <w:sz w:val="21"/>
          <w:szCs w:val="21"/>
        </w:rPr>
        <w:t>Why this metric matters and what outcome it predicts</w:t>
      </w:r>
    </w:p>
    <w:p w14:paraId="4E4736EA" w14:textId="77777777" w:rsidR="00B16CC7" w:rsidRDefault="00000000">
      <w:pPr>
        <w:spacing w:after="98" w:line="244" w:lineRule="auto"/>
      </w:pPr>
      <w:r>
        <w:rPr>
          <w:rFonts w:eastAsia="Calibri"/>
        </w:rPr>
        <w:t xml:space="preserve">In an AI app builder the first result is almost never what the user pictured. So the decisive moment is not the first prompt — that measures curiosity, and is easy to inflate with a better landing page. It is what the user does </w:t>
      </w:r>
      <w:r>
        <w:rPr>
          <w:rFonts w:eastAsia="Calibri"/>
          <w:i/>
          <w:iCs/>
        </w:rPr>
        <w:t>after</w:t>
      </w:r>
      <w:r>
        <w:rPr>
          <w:rFonts w:eastAsia="Calibri"/>
        </w:rPr>
        <w:t xml:space="preserve"> seeing an imperfect result. A second prompt means they have concluded the tool is steerable: that the gap between what they got and what they wanted is one they can close.</w:t>
      </w:r>
    </w:p>
    <w:p w14:paraId="1D128F5E" w14:textId="77777777" w:rsidR="00B16CC7" w:rsidRDefault="00000000">
      <w:pPr>
        <w:spacing w:after="98" w:line="244" w:lineRule="auto"/>
      </w:pPr>
      <w:r>
        <w:rPr>
          <w:rFonts w:eastAsia="Calibri"/>
        </w:rPr>
        <w:t>The outcome it predicts is paid conversion, and the mechanism is specific. The paid tiers sell what only becomes valuable once you have an app worth keeping — private projects, publishing, more generations. A user who has iterated once has demonstrated exactly the intent that makes those things worth buying; a user who prompted once and left has not. That is why I would report the metric in revenue terms — conversion lift per point of iteration, and subscribers per thousand sign-ups — rather than as an engagement number, which invites the team to optimise it for its own sake.</w:t>
      </w:r>
    </w:p>
    <w:p w14:paraId="6C12D340" w14:textId="77777777" w:rsidR="00B16CC7" w:rsidRDefault="00000000">
      <w:pPr>
        <w:spacing w:after="45" w:line="244" w:lineRule="auto"/>
      </w:pPr>
      <w:r>
        <w:rPr>
          <w:rFonts w:eastAsia="Calibri"/>
        </w:rPr>
        <w:t>It also fails well in both directions. First-prompt rate over-counts users who never see a result; apps-published arrives too late to steer a weekly cycle. Iteration sits between them — early enough to act on within a day of a release, close enough to revenue to defend in planning. My working expectation is that iterators convert several times better than one-and-done users, and that most of that gap survives controlling for declared readiness and acquisition source. If it does not — if the gap collapses once readiness is held constant — then iteration is a symptom of intent rather than a lever on it, and I would drop it as the headline metric rather than build a roadmap on it.</w:t>
      </w:r>
    </w:p>
    <w:p w14:paraId="293F30BE" w14:textId="77777777" w:rsidR="00B16CC7" w:rsidRDefault="00000000">
      <w:pPr>
        <w:spacing w:before="145" w:after="72"/>
      </w:pPr>
      <w:r>
        <w:rPr>
          <w:rFonts w:eastAsia="Calibri"/>
          <w:b/>
          <w:bCs/>
          <w:color w:val="2D6EF5"/>
          <w:sz w:val="21"/>
          <w:szCs w:val="21"/>
        </w:rPr>
        <w:t xml:space="preserve">3.  </w:t>
      </w:r>
      <w:r>
        <w:rPr>
          <w:rFonts w:eastAsia="Calibri"/>
          <w:b/>
          <w:bCs/>
          <w:color w:val="111C3A"/>
          <w:sz w:val="21"/>
          <w:szCs w:val="21"/>
        </w:rPr>
        <w:t>If the metric looked unhealthy, what I would do next</w:t>
      </w:r>
    </w:p>
    <w:p w14:paraId="783DB17A" w14:textId="77777777" w:rsidR="00B16CC7" w:rsidRDefault="00000000">
      <w:pPr>
        <w:spacing w:after="85" w:line="244" w:lineRule="auto"/>
      </w:pPr>
      <w:r>
        <w:rPr>
          <w:rFonts w:eastAsia="Calibri"/>
        </w:rPr>
        <w:t>Rule out measurement first — a release, schema edit, shifted session definition, or a partially elapsed cohort. Then decompose, because each step implies a different fix:</w:t>
      </w:r>
    </w:p>
    <w:p w14:paraId="71CE87F5" w14:textId="77777777" w:rsidR="00B16CC7" w:rsidRDefault="00000000">
      <w:pPr>
        <w:pStyle w:val="ListParagraph"/>
        <w:numPr>
          <w:ilvl w:val="0"/>
          <w:numId w:val="1"/>
        </w:numPr>
        <w:spacing w:after="44" w:line="230" w:lineRule="auto"/>
      </w:pPr>
      <w:r>
        <w:rPr>
          <w:rFonts w:eastAsia="Calibri"/>
          <w:b/>
          <w:bCs/>
          <w:sz w:val="18"/>
          <w:szCs w:val="18"/>
        </w:rPr>
        <w:t xml:space="preserve">First, separate “lost interest” from “lost the way back.” </w:t>
      </w:r>
      <w:r>
        <w:rPr>
          <w:rFonts w:eastAsia="Calibri"/>
          <w:sz w:val="18"/>
          <w:szCs w:val="18"/>
        </w:rPr>
        <w:t>Leaving the preview returns you to a landing page headed by an empty prompt box, with existing projects below the fold. A user who cannot find the way back looks identical in the logs to one who gave up, and may start a second project instead — which reads as a positive signal. I would track same-session return-to-project as its own step and read any gap as navigation, not motivation.</w:t>
      </w:r>
    </w:p>
    <w:p w14:paraId="1B42BEE9" w14:textId="77777777" w:rsidR="00B16CC7" w:rsidRDefault="00000000">
      <w:pPr>
        <w:pStyle w:val="ListParagraph"/>
        <w:numPr>
          <w:ilvl w:val="0"/>
          <w:numId w:val="1"/>
        </w:numPr>
        <w:spacing w:after="44" w:line="230" w:lineRule="auto"/>
      </w:pPr>
      <w:r>
        <w:rPr>
          <w:rFonts w:eastAsia="Calibri"/>
          <w:b/>
          <w:bCs/>
          <w:sz w:val="18"/>
          <w:szCs w:val="18"/>
        </w:rPr>
        <w:t xml:space="preserve">They never reached the prompt box. </w:t>
      </w:r>
      <w:r>
        <w:rPr>
          <w:rFonts w:eastAsia="Calibri"/>
          <w:sz w:val="18"/>
          <w:szCs w:val="18"/>
        </w:rPr>
        <w:t>Four screens sit between sign-up and the first prompt. Compare iteration among survey completers versus dismissers — if dismissers do just as well, the survey is buying data at the cost of activation and belongs after the first preview.</w:t>
      </w:r>
    </w:p>
    <w:p w14:paraId="6AA2C2B0" w14:textId="77777777" w:rsidR="00B16CC7" w:rsidRDefault="00000000">
      <w:pPr>
        <w:pStyle w:val="ListParagraph"/>
        <w:numPr>
          <w:ilvl w:val="0"/>
          <w:numId w:val="1"/>
        </w:numPr>
        <w:spacing w:after="44" w:line="230" w:lineRule="auto"/>
      </w:pPr>
      <w:r>
        <w:rPr>
          <w:rFonts w:eastAsia="Calibri"/>
          <w:b/>
          <w:bCs/>
          <w:sz w:val="18"/>
          <w:szCs w:val="18"/>
        </w:rPr>
        <w:t xml:space="preserve">They prompted but never saw a preview. </w:t>
      </w:r>
      <w:r>
        <w:rPr>
          <w:rFonts w:eastAsia="Calibri"/>
          <w:sz w:val="18"/>
          <w:szCs w:val="18"/>
        </w:rPr>
        <w:t>My first generation took close to six minutes on a spinner; later edits returned in under twenty seconds. The wait sits on the one generation a user has invested least in, so I would watch time-to-first-preview at p50 and p90 specifically and plot abandonment against elapsed wait.</w:t>
      </w:r>
    </w:p>
    <w:p w14:paraId="0113D62C" w14:textId="77777777" w:rsidR="00B16CC7" w:rsidRDefault="00000000">
      <w:pPr>
        <w:pStyle w:val="ListParagraph"/>
        <w:numPr>
          <w:ilvl w:val="0"/>
          <w:numId w:val="1"/>
        </w:numPr>
        <w:spacing w:after="44" w:line="230" w:lineRule="auto"/>
      </w:pPr>
      <w:r>
        <w:rPr>
          <w:rFonts w:eastAsia="Calibri"/>
          <w:b/>
          <w:bCs/>
          <w:sz w:val="18"/>
          <w:szCs w:val="18"/>
        </w:rPr>
        <w:t xml:space="preserve">They saw a preview and left. </w:t>
      </w:r>
      <w:r>
        <w:rPr>
          <w:rFonts w:eastAsia="Calibri"/>
          <w:sz w:val="18"/>
          <w:szCs w:val="18"/>
        </w:rPr>
        <w:t>Cluster the first prompts never followed by a second — too vague, too ambitious, or in a domain the generator handles badly — and confirm which prompting surfaces the user was shown.</w:t>
      </w:r>
    </w:p>
    <w:p w14:paraId="710C0F9A" w14:textId="77777777" w:rsidR="00B16CC7" w:rsidRDefault="00000000">
      <w:pPr>
        <w:spacing w:after="98" w:line="244" w:lineRule="auto"/>
      </w:pPr>
      <w:r>
        <w:rPr>
          <w:rFonts w:eastAsia="Calibri"/>
        </w:rPr>
        <w:t>I would also test the pricing boundary early. Generations cost a flat 400 of a 2,000-token free allowance — five in total — and a suggested follow-up costs exactly what a freehand prompt does. If iteration rate falls as remaining credit falls, that is a pricing problem wearing an onboarding costume, and no prompt-UX work will fix it.</w:t>
      </w:r>
    </w:p>
    <w:p w14:paraId="76BF7AEF" w14:textId="77777777" w:rsidR="00B16CC7" w:rsidRDefault="00000000">
      <w:pPr>
        <w:spacing w:after="30" w:line="244" w:lineRule="auto"/>
      </w:pPr>
      <w:r>
        <w:rPr>
          <w:rFonts w:eastAsia="Calibri"/>
        </w:rPr>
        <w:t>Finally, iteration is not automatically good: my second prompt surfaced a request for an external API key, a step that leaves the no-code tool entirely. I would pair the metric with whether the app still previews cleanly afterwards, and treat any fix as a hypothesis — iterators may simply be more motivated — so changes ship as an A/B test with iteration rate primary and paid conversion secondary.</w:t>
      </w:r>
    </w:p>
    <w:sectPr w:rsidR="00B16CC7">
      <w:pgSz w:w="12240" w:h="15840"/>
      <w:pgMar w:top="700" w:right="1000" w:bottom="5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663EC"/>
    <w:multiLevelType w:val="hybridMultilevel"/>
    <w:tmpl w:val="CEC4ED26"/>
    <w:lvl w:ilvl="0" w:tplc="4F90CE0E">
      <w:start w:val="1"/>
      <w:numFmt w:val="bullet"/>
      <w:lvlText w:val="●"/>
      <w:lvlJc w:val="left"/>
      <w:pPr>
        <w:ind w:left="720" w:hanging="360"/>
      </w:pPr>
    </w:lvl>
    <w:lvl w:ilvl="1" w:tplc="8CFAB372">
      <w:start w:val="1"/>
      <w:numFmt w:val="bullet"/>
      <w:lvlText w:val="○"/>
      <w:lvlJc w:val="left"/>
      <w:pPr>
        <w:ind w:left="1440" w:hanging="360"/>
      </w:pPr>
    </w:lvl>
    <w:lvl w:ilvl="2" w:tplc="C07AA1E4">
      <w:start w:val="1"/>
      <w:numFmt w:val="bullet"/>
      <w:lvlText w:val="■"/>
      <w:lvlJc w:val="left"/>
      <w:pPr>
        <w:ind w:left="2160" w:hanging="360"/>
      </w:pPr>
    </w:lvl>
    <w:lvl w:ilvl="3" w:tplc="46BCEDC2">
      <w:start w:val="1"/>
      <w:numFmt w:val="bullet"/>
      <w:lvlText w:val="●"/>
      <w:lvlJc w:val="left"/>
      <w:pPr>
        <w:ind w:left="2880" w:hanging="360"/>
      </w:pPr>
    </w:lvl>
    <w:lvl w:ilvl="4" w:tplc="EF82EE2A">
      <w:start w:val="1"/>
      <w:numFmt w:val="bullet"/>
      <w:lvlText w:val="○"/>
      <w:lvlJc w:val="left"/>
      <w:pPr>
        <w:ind w:left="3600" w:hanging="360"/>
      </w:pPr>
    </w:lvl>
    <w:lvl w:ilvl="5" w:tplc="403E06D2">
      <w:start w:val="1"/>
      <w:numFmt w:val="bullet"/>
      <w:lvlText w:val="■"/>
      <w:lvlJc w:val="left"/>
      <w:pPr>
        <w:ind w:left="4320" w:hanging="360"/>
      </w:pPr>
    </w:lvl>
    <w:lvl w:ilvl="6" w:tplc="13EA44CE">
      <w:start w:val="1"/>
      <w:numFmt w:val="bullet"/>
      <w:lvlText w:val="●"/>
      <w:lvlJc w:val="left"/>
      <w:pPr>
        <w:ind w:left="5040" w:hanging="360"/>
      </w:pPr>
    </w:lvl>
    <w:lvl w:ilvl="7" w:tplc="1BAE3D86">
      <w:start w:val="1"/>
      <w:numFmt w:val="bullet"/>
      <w:lvlText w:val="●"/>
      <w:lvlJc w:val="left"/>
      <w:pPr>
        <w:ind w:left="5760" w:hanging="360"/>
      </w:pPr>
    </w:lvl>
    <w:lvl w:ilvl="8" w:tplc="CACC894E">
      <w:start w:val="1"/>
      <w:numFmt w:val="bullet"/>
      <w:lvlText w:val="●"/>
      <w:lvlJc w:val="left"/>
      <w:pPr>
        <w:ind w:left="6480" w:hanging="360"/>
      </w:pPr>
    </w:lvl>
  </w:abstractNum>
  <w:num w:numId="1" w16cid:durableId="2410628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CC7"/>
    <w:rsid w:val="000E411B"/>
    <w:rsid w:val="00A3775A"/>
    <w:rsid w:val="00B16CC7"/>
    <w:rsid w:val="00E1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776B1"/>
  <w15:docId w15:val="{C1EDC2DC-E3A3-4ECD-8CCA-79688B40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color w:val="1B2438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823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Hyun-Bi Park</cp:lastModifiedBy>
  <cp:revision>3</cp:revision>
  <dcterms:created xsi:type="dcterms:W3CDTF">2026-08-14T21:06:00Z</dcterms:created>
  <dcterms:modified xsi:type="dcterms:W3CDTF">2026-08-14T21:08:00Z</dcterms:modified>
</cp:coreProperties>
</file>