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BD8B" w14:textId="77777777" w:rsidR="00DB646E" w:rsidRDefault="00000000">
      <w:pPr>
        <w:jc w:val="center"/>
      </w:pPr>
      <w:r>
        <w:rPr>
          <w:b/>
          <w:color w:val="0B1F56"/>
          <w:sz w:val="40"/>
        </w:rPr>
        <w:t>MVM Counterfactual Methodology</w:t>
      </w:r>
    </w:p>
    <w:p w14:paraId="70B317EE" w14:textId="77777777" w:rsidR="00DB646E" w:rsidRDefault="00000000">
      <w:r>
        <w:rPr>
          <w:b/>
          <w:color w:val="0B1F56"/>
          <w:sz w:val="28"/>
        </w:rPr>
        <w:t>Executive summary</w:t>
      </w:r>
    </w:p>
    <w:p w14:paraId="1D5E99DD" w14:textId="77777777" w:rsidR="00F056B6" w:rsidRDefault="00F056B6" w:rsidP="00F056B6">
      <w:r>
        <w:t xml:space="preserve">The purpose of this method is to estimate how much guest count (GC) is protected by maintaining healthy foundation conditions. It is most useful for Restaurant Foundation and Commercial BAU domains, where value often shows up as avoided loss rather than obvious incremental growth. </w:t>
      </w:r>
      <w:r>
        <w:br/>
      </w:r>
      <w:r>
        <w:br/>
        <w:t>At this stage, this is an interim counterfactual module rather than the full MVM. We fit a regression focused on foundation protection, use realistic weak thresholds instead of extreme outliers, score the same business under two scenarios (current foundation vs. weak foundation), and call the difference protected GC. External context and growth momentum are estimated in separate modules later and reconciled in the full MVM.</w:t>
      </w:r>
    </w:p>
    <w:p w14:paraId="6EC12B03" w14:textId="198B06D1" w:rsidR="00F056B6" w:rsidRDefault="00F056B6" w:rsidP="00F056B6">
      <w:r>
        <w:rPr>
          <w:b/>
        </w:rPr>
        <w:t xml:space="preserve">Method in 6 steps: </w:t>
      </w:r>
      <w:r>
        <w:t xml:space="preserve">1) Define weak thresholds, 2) Validate the weak tail, </w:t>
      </w:r>
      <w:r>
        <w:t>3</w:t>
      </w:r>
      <w:r>
        <w:t xml:space="preserve">) Fit the foundation counterfactual regression, </w:t>
      </w:r>
      <w:r>
        <w:t>4)</w:t>
      </w:r>
      <w:r>
        <w:t xml:space="preserve"> Build paired scoring datasets, 5) Score current vs. weak scenarios, 6) Attribute protected GC back to foundation domains.</w:t>
      </w:r>
    </w:p>
    <w:p w14:paraId="10A2B3C9" w14:textId="77777777" w:rsidR="00DB646E" w:rsidRDefault="00000000">
      <w:pPr>
        <w:jc w:val="center"/>
      </w:pPr>
      <w:r>
        <w:rPr>
          <w:noProof/>
        </w:rPr>
        <w:drawing>
          <wp:inline distT="0" distB="0" distL="0" distR="0" wp14:anchorId="59B2CAA6" wp14:editId="3B153937">
            <wp:extent cx="6309360" cy="1458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flow.png"/>
                    <pic:cNvPicPr/>
                  </pic:nvPicPr>
                  <pic:blipFill>
                    <a:blip r:embed="rId6"/>
                    <a:stretch>
                      <a:fillRect/>
                    </a:stretch>
                  </pic:blipFill>
                  <pic:spPr>
                    <a:xfrm>
                      <a:off x="0" y="0"/>
                      <a:ext cx="6309360" cy="1458031"/>
                    </a:xfrm>
                    <a:prstGeom prst="rect">
                      <a:avLst/>
                    </a:prstGeom>
                  </pic:spPr>
                </pic:pic>
              </a:graphicData>
            </a:graphic>
          </wp:inline>
        </w:drawing>
      </w:r>
    </w:p>
    <w:p w14:paraId="4CD7ECE7" w14:textId="77777777" w:rsidR="00DB646E" w:rsidRDefault="00000000">
      <w:pPr>
        <w:jc w:val="center"/>
      </w:pPr>
      <w:r>
        <w:rPr>
          <w:i/>
          <w:color w:val="595959"/>
          <w:sz w:val="17"/>
        </w:rPr>
        <w:t>Figure 1. Simplified workflow for the interim foundation counterfactual module.</w:t>
      </w:r>
    </w:p>
    <w:p w14:paraId="6D1933AB" w14:textId="148AE001" w:rsidR="00DB646E" w:rsidRDefault="00000000">
      <w:r>
        <w:t xml:space="preserve">The full MVM contribution view should separate three types of estimates: foundation protection, external context, and growth momentum. Foundation protection uses counterfactual avoided loss. External context uses </w:t>
      </w:r>
      <w:r w:rsidR="00D64E78">
        <w:t xml:space="preserve">long-term-history </w:t>
      </w:r>
      <w:r>
        <w:t xml:space="preserve">actual-versus-normal </w:t>
      </w:r>
      <w:r w:rsidR="00F056B6">
        <w:t>model</w:t>
      </w:r>
      <w:r>
        <w:t>. Growth momentum uses prior-informed incrementality estimates and later reconciliation in the final MVM.</w:t>
      </w:r>
    </w:p>
    <w:p w14:paraId="17281004" w14:textId="77777777" w:rsidR="00F056B6" w:rsidRDefault="00F056B6"/>
    <w:p w14:paraId="1D5A8810" w14:textId="69FC39EB" w:rsidR="00F056B6" w:rsidRPr="00F056B6" w:rsidRDefault="00F056B6">
      <w:pPr>
        <w:rPr>
          <w:b/>
          <w:color w:val="0B1F56"/>
          <w:sz w:val="26"/>
        </w:rPr>
      </w:pPr>
      <w:r w:rsidRPr="00F056B6">
        <w:rPr>
          <w:b/>
          <w:color w:val="0B1F56"/>
          <w:sz w:val="26"/>
        </w:rPr>
        <w:t>Counterfactual Estimation Steps:</w:t>
      </w:r>
    </w:p>
    <w:p w14:paraId="7AE00CB8" w14:textId="77777777" w:rsidR="00DB646E" w:rsidRDefault="00000000">
      <w:r>
        <w:rPr>
          <w:b/>
          <w:color w:val="0B1F56"/>
          <w:sz w:val="26"/>
        </w:rPr>
        <w:t>Step 1. Define weak-foundation thresholds</w:t>
      </w:r>
    </w:p>
    <w:p w14:paraId="4B0FBC64" w14:textId="77777777" w:rsidR="00F056B6" w:rsidRDefault="00F056B6" w:rsidP="00F056B6">
      <w:r>
        <w:t>For each foundation KPI, choose a weak but realistic value. The threshold should come from an empirical tail such as P90 when higher is worse (for example speed or stockouts) or P10 when lower is worse (for example satisfaction or uptime). The goal is to represent poor operating conditions while avoiding one-off extreme outliers.</w:t>
      </w:r>
    </w:p>
    <w:p w14:paraId="5723DCEE" w14:textId="77777777" w:rsidR="00DB646E" w:rsidRDefault="00000000">
      <w:r>
        <w:t>Thresholds should have enough historical observations. A practical starting point is the latest 104 weeks of restaurant-week data, with segment-specific thresholds when markets, formats, or dayparts have very different distributions.</w:t>
      </w:r>
    </w:p>
    <w:p w14:paraId="15DF801D" w14:textId="77777777" w:rsidR="00DB646E" w:rsidRDefault="00000000">
      <w:r>
        <w:rPr>
          <w:b/>
          <w:sz w:val="21"/>
        </w:rPr>
        <w:t>Synthetic example: weak-foundation thresholds</w:t>
      </w:r>
    </w:p>
    <w:tbl>
      <w:tblPr>
        <w:tblStyle w:val="TableGrid"/>
        <w:tblW w:w="0" w:type="auto"/>
        <w:jc w:val="center"/>
        <w:tblLook w:val="04A0" w:firstRow="1" w:lastRow="0" w:firstColumn="1" w:lastColumn="0" w:noHBand="0" w:noVBand="1"/>
      </w:tblPr>
      <w:tblGrid>
        <w:gridCol w:w="2071"/>
        <w:gridCol w:w="2072"/>
        <w:gridCol w:w="2071"/>
        <w:gridCol w:w="2072"/>
        <w:gridCol w:w="2072"/>
      </w:tblGrid>
      <w:tr w:rsidR="00DB646E" w14:paraId="4CB6DE22" w14:textId="77777777">
        <w:trPr>
          <w:tblHeader/>
          <w:jc w:val="center"/>
        </w:trPr>
        <w:tc>
          <w:tcPr>
            <w:tcW w:w="2074" w:type="dxa"/>
            <w:shd w:val="clear" w:color="auto" w:fill="D9EAF7"/>
            <w:vAlign w:val="center"/>
          </w:tcPr>
          <w:p w14:paraId="3A429EBE" w14:textId="77777777" w:rsidR="00DB646E" w:rsidRDefault="00000000">
            <w:r>
              <w:rPr>
                <w:b/>
                <w:color w:val="0B1F56"/>
                <w:sz w:val="16"/>
              </w:rPr>
              <w:t>KPI</w:t>
            </w:r>
          </w:p>
        </w:tc>
        <w:tc>
          <w:tcPr>
            <w:tcW w:w="2074" w:type="dxa"/>
            <w:shd w:val="clear" w:color="auto" w:fill="D9EAF7"/>
            <w:vAlign w:val="center"/>
          </w:tcPr>
          <w:p w14:paraId="28D0C06F" w14:textId="77777777" w:rsidR="00DB646E" w:rsidRDefault="00000000">
            <w:r>
              <w:rPr>
                <w:b/>
                <w:color w:val="0B1F56"/>
                <w:sz w:val="16"/>
              </w:rPr>
              <w:t>Group</w:t>
            </w:r>
          </w:p>
        </w:tc>
        <w:tc>
          <w:tcPr>
            <w:tcW w:w="2074" w:type="dxa"/>
            <w:shd w:val="clear" w:color="auto" w:fill="D9EAF7"/>
            <w:vAlign w:val="center"/>
          </w:tcPr>
          <w:p w14:paraId="6B731AE5" w14:textId="77777777" w:rsidR="00DB646E" w:rsidRDefault="00000000">
            <w:r>
              <w:rPr>
                <w:b/>
                <w:color w:val="0B1F56"/>
                <w:sz w:val="16"/>
              </w:rPr>
              <w:t>Weak direction</w:t>
            </w:r>
          </w:p>
        </w:tc>
        <w:tc>
          <w:tcPr>
            <w:tcW w:w="2074" w:type="dxa"/>
            <w:shd w:val="clear" w:color="auto" w:fill="D9EAF7"/>
            <w:vAlign w:val="center"/>
          </w:tcPr>
          <w:p w14:paraId="39DBA25A" w14:textId="77777777" w:rsidR="00DB646E" w:rsidRDefault="00000000">
            <w:r>
              <w:rPr>
                <w:b/>
                <w:color w:val="0B1F56"/>
                <w:sz w:val="16"/>
              </w:rPr>
              <w:t>Reference value</w:t>
            </w:r>
          </w:p>
        </w:tc>
        <w:tc>
          <w:tcPr>
            <w:tcW w:w="2074" w:type="dxa"/>
            <w:shd w:val="clear" w:color="auto" w:fill="D9EAF7"/>
            <w:vAlign w:val="center"/>
          </w:tcPr>
          <w:p w14:paraId="39F0248C" w14:textId="77777777" w:rsidR="00DB646E" w:rsidRDefault="00000000">
            <w:r>
              <w:rPr>
                <w:b/>
                <w:color w:val="0B1F56"/>
                <w:sz w:val="16"/>
              </w:rPr>
              <w:t>Weak threshold</w:t>
            </w:r>
          </w:p>
        </w:tc>
      </w:tr>
      <w:tr w:rsidR="00DB646E" w14:paraId="7398C5D6" w14:textId="77777777">
        <w:trPr>
          <w:jc w:val="center"/>
        </w:trPr>
        <w:tc>
          <w:tcPr>
            <w:tcW w:w="2074" w:type="dxa"/>
            <w:vAlign w:val="center"/>
          </w:tcPr>
          <w:p w14:paraId="1E749EF0" w14:textId="77777777" w:rsidR="00DB646E" w:rsidRDefault="00000000">
            <w:r>
              <w:rPr>
                <w:sz w:val="16"/>
              </w:rPr>
              <w:t>Speed of service</w:t>
            </w:r>
          </w:p>
        </w:tc>
        <w:tc>
          <w:tcPr>
            <w:tcW w:w="2074" w:type="dxa"/>
            <w:vAlign w:val="center"/>
          </w:tcPr>
          <w:p w14:paraId="7B0215D4" w14:textId="77777777" w:rsidR="00DB646E" w:rsidRDefault="00000000">
            <w:r>
              <w:rPr>
                <w:sz w:val="16"/>
              </w:rPr>
              <w:t>Restaurant Foundation</w:t>
            </w:r>
          </w:p>
        </w:tc>
        <w:tc>
          <w:tcPr>
            <w:tcW w:w="2074" w:type="dxa"/>
            <w:vAlign w:val="center"/>
          </w:tcPr>
          <w:p w14:paraId="1A0C7282" w14:textId="77777777" w:rsidR="00DB646E" w:rsidRDefault="00000000">
            <w:r>
              <w:rPr>
                <w:sz w:val="16"/>
              </w:rPr>
              <w:t>Higher is worse</w:t>
            </w:r>
          </w:p>
        </w:tc>
        <w:tc>
          <w:tcPr>
            <w:tcW w:w="2074" w:type="dxa"/>
            <w:vAlign w:val="center"/>
          </w:tcPr>
          <w:p w14:paraId="6A91AEE1" w14:textId="77777777" w:rsidR="00DB646E" w:rsidRDefault="00000000">
            <w:r>
              <w:rPr>
                <w:sz w:val="16"/>
              </w:rPr>
              <w:t>Current: 122 sec</w:t>
            </w:r>
          </w:p>
        </w:tc>
        <w:tc>
          <w:tcPr>
            <w:tcW w:w="2074" w:type="dxa"/>
            <w:vAlign w:val="center"/>
          </w:tcPr>
          <w:p w14:paraId="71EEDCC7" w14:textId="66C3BA17" w:rsidR="00DB646E" w:rsidRDefault="00000000">
            <w:r>
              <w:rPr>
                <w:sz w:val="16"/>
              </w:rPr>
              <w:t>Weak: P90 = 1</w:t>
            </w:r>
            <w:r w:rsidR="00F056B6">
              <w:rPr>
                <w:sz w:val="16"/>
              </w:rPr>
              <w:t>9</w:t>
            </w:r>
            <w:r>
              <w:rPr>
                <w:sz w:val="16"/>
              </w:rPr>
              <w:t>5 sec</w:t>
            </w:r>
          </w:p>
        </w:tc>
      </w:tr>
      <w:tr w:rsidR="00DB646E" w14:paraId="29787C10" w14:textId="77777777">
        <w:trPr>
          <w:jc w:val="center"/>
        </w:trPr>
        <w:tc>
          <w:tcPr>
            <w:tcW w:w="2074" w:type="dxa"/>
            <w:vAlign w:val="center"/>
          </w:tcPr>
          <w:p w14:paraId="46EA9336" w14:textId="77777777" w:rsidR="00DB646E" w:rsidRDefault="00000000">
            <w:r>
              <w:rPr>
                <w:sz w:val="16"/>
              </w:rPr>
              <w:t>CSAT</w:t>
            </w:r>
          </w:p>
        </w:tc>
        <w:tc>
          <w:tcPr>
            <w:tcW w:w="2074" w:type="dxa"/>
            <w:vAlign w:val="center"/>
          </w:tcPr>
          <w:p w14:paraId="301E4AD2" w14:textId="77777777" w:rsidR="00DB646E" w:rsidRDefault="00000000">
            <w:r>
              <w:rPr>
                <w:sz w:val="16"/>
              </w:rPr>
              <w:t>Restaurant Foundation</w:t>
            </w:r>
          </w:p>
        </w:tc>
        <w:tc>
          <w:tcPr>
            <w:tcW w:w="2074" w:type="dxa"/>
            <w:vAlign w:val="center"/>
          </w:tcPr>
          <w:p w14:paraId="152929B7" w14:textId="77777777" w:rsidR="00DB646E" w:rsidRDefault="00000000">
            <w:r>
              <w:rPr>
                <w:sz w:val="16"/>
              </w:rPr>
              <w:t>Lower is worse</w:t>
            </w:r>
          </w:p>
        </w:tc>
        <w:tc>
          <w:tcPr>
            <w:tcW w:w="2074" w:type="dxa"/>
            <w:vAlign w:val="center"/>
          </w:tcPr>
          <w:p w14:paraId="673219A2" w14:textId="77777777" w:rsidR="00DB646E" w:rsidRDefault="00000000">
            <w:r>
              <w:rPr>
                <w:sz w:val="16"/>
              </w:rPr>
              <w:t>Current: 4.47 / 5</w:t>
            </w:r>
          </w:p>
        </w:tc>
        <w:tc>
          <w:tcPr>
            <w:tcW w:w="2074" w:type="dxa"/>
            <w:vAlign w:val="center"/>
          </w:tcPr>
          <w:p w14:paraId="080E58FC" w14:textId="6245710D" w:rsidR="00DB646E" w:rsidRDefault="00000000">
            <w:r>
              <w:rPr>
                <w:sz w:val="16"/>
              </w:rPr>
              <w:t xml:space="preserve">Weak: P10 = </w:t>
            </w:r>
            <w:r w:rsidR="00817C62">
              <w:rPr>
                <w:sz w:val="16"/>
              </w:rPr>
              <w:t>3.7</w:t>
            </w:r>
            <w:r>
              <w:rPr>
                <w:sz w:val="16"/>
              </w:rPr>
              <w:t xml:space="preserve"> / 5</w:t>
            </w:r>
          </w:p>
        </w:tc>
      </w:tr>
      <w:tr w:rsidR="00DB646E" w14:paraId="31035AB5" w14:textId="77777777">
        <w:trPr>
          <w:jc w:val="center"/>
        </w:trPr>
        <w:tc>
          <w:tcPr>
            <w:tcW w:w="2074" w:type="dxa"/>
            <w:vAlign w:val="center"/>
          </w:tcPr>
          <w:p w14:paraId="0E3C345A" w14:textId="77777777" w:rsidR="00DB646E" w:rsidRDefault="00000000">
            <w:r>
              <w:rPr>
                <w:sz w:val="16"/>
              </w:rPr>
              <w:t>Out-of-stock rate</w:t>
            </w:r>
          </w:p>
        </w:tc>
        <w:tc>
          <w:tcPr>
            <w:tcW w:w="2074" w:type="dxa"/>
            <w:vAlign w:val="center"/>
          </w:tcPr>
          <w:p w14:paraId="36B11F90" w14:textId="77777777" w:rsidR="00DB646E" w:rsidRDefault="00000000">
            <w:r>
              <w:rPr>
                <w:sz w:val="16"/>
              </w:rPr>
              <w:t>Restaurant Foundation</w:t>
            </w:r>
          </w:p>
        </w:tc>
        <w:tc>
          <w:tcPr>
            <w:tcW w:w="2074" w:type="dxa"/>
            <w:vAlign w:val="center"/>
          </w:tcPr>
          <w:p w14:paraId="44149A00" w14:textId="77777777" w:rsidR="00DB646E" w:rsidRDefault="00000000">
            <w:r>
              <w:rPr>
                <w:sz w:val="16"/>
              </w:rPr>
              <w:t>Higher is worse</w:t>
            </w:r>
          </w:p>
        </w:tc>
        <w:tc>
          <w:tcPr>
            <w:tcW w:w="2074" w:type="dxa"/>
            <w:vAlign w:val="center"/>
          </w:tcPr>
          <w:p w14:paraId="6564BECD" w14:textId="77777777" w:rsidR="00DB646E" w:rsidRDefault="00000000">
            <w:r>
              <w:rPr>
                <w:sz w:val="16"/>
              </w:rPr>
              <w:t>Current: 1.2%</w:t>
            </w:r>
          </w:p>
        </w:tc>
        <w:tc>
          <w:tcPr>
            <w:tcW w:w="2074" w:type="dxa"/>
            <w:vAlign w:val="center"/>
          </w:tcPr>
          <w:p w14:paraId="64F89F47" w14:textId="77777777" w:rsidR="00DB646E" w:rsidRDefault="00000000">
            <w:r>
              <w:rPr>
                <w:sz w:val="16"/>
              </w:rPr>
              <w:t>Weak: P90 = 4.8%</w:t>
            </w:r>
          </w:p>
        </w:tc>
      </w:tr>
      <w:tr w:rsidR="00DB646E" w14:paraId="1979A61E" w14:textId="77777777">
        <w:trPr>
          <w:jc w:val="center"/>
        </w:trPr>
        <w:tc>
          <w:tcPr>
            <w:tcW w:w="2074" w:type="dxa"/>
            <w:vAlign w:val="center"/>
          </w:tcPr>
          <w:p w14:paraId="68BBAB84" w14:textId="77777777" w:rsidR="00DB646E" w:rsidRDefault="00000000">
            <w:r>
              <w:rPr>
                <w:sz w:val="16"/>
              </w:rPr>
              <w:t>Technology uptime</w:t>
            </w:r>
          </w:p>
        </w:tc>
        <w:tc>
          <w:tcPr>
            <w:tcW w:w="2074" w:type="dxa"/>
            <w:vAlign w:val="center"/>
          </w:tcPr>
          <w:p w14:paraId="02AFD806" w14:textId="77777777" w:rsidR="00DB646E" w:rsidRDefault="00000000">
            <w:r>
              <w:rPr>
                <w:sz w:val="16"/>
              </w:rPr>
              <w:t>Restaurant Foundation</w:t>
            </w:r>
          </w:p>
        </w:tc>
        <w:tc>
          <w:tcPr>
            <w:tcW w:w="2074" w:type="dxa"/>
            <w:vAlign w:val="center"/>
          </w:tcPr>
          <w:p w14:paraId="2EFF1554" w14:textId="77777777" w:rsidR="00DB646E" w:rsidRDefault="00000000">
            <w:r>
              <w:rPr>
                <w:sz w:val="16"/>
              </w:rPr>
              <w:t>Lower is worse</w:t>
            </w:r>
          </w:p>
        </w:tc>
        <w:tc>
          <w:tcPr>
            <w:tcW w:w="2074" w:type="dxa"/>
            <w:vAlign w:val="center"/>
          </w:tcPr>
          <w:p w14:paraId="0AE2055F" w14:textId="77777777" w:rsidR="00DB646E" w:rsidRDefault="00000000">
            <w:r>
              <w:rPr>
                <w:sz w:val="16"/>
              </w:rPr>
              <w:t>Current: 99.5%</w:t>
            </w:r>
          </w:p>
        </w:tc>
        <w:tc>
          <w:tcPr>
            <w:tcW w:w="2074" w:type="dxa"/>
            <w:vAlign w:val="center"/>
          </w:tcPr>
          <w:p w14:paraId="1BF4CD6E" w14:textId="77777777" w:rsidR="00DB646E" w:rsidRDefault="00000000">
            <w:r>
              <w:rPr>
                <w:sz w:val="16"/>
              </w:rPr>
              <w:t>Weak: P10 = 97.8%</w:t>
            </w:r>
          </w:p>
        </w:tc>
      </w:tr>
      <w:tr w:rsidR="00DB646E" w14:paraId="62D4D6CC" w14:textId="77777777">
        <w:trPr>
          <w:jc w:val="center"/>
        </w:trPr>
        <w:tc>
          <w:tcPr>
            <w:tcW w:w="2074" w:type="dxa"/>
            <w:vAlign w:val="center"/>
          </w:tcPr>
          <w:p w14:paraId="6AE6865E" w14:textId="77777777" w:rsidR="00DB646E" w:rsidRDefault="00000000">
            <w:r>
              <w:rPr>
                <w:sz w:val="16"/>
              </w:rPr>
              <w:t>Pricing adoption</w:t>
            </w:r>
          </w:p>
        </w:tc>
        <w:tc>
          <w:tcPr>
            <w:tcW w:w="2074" w:type="dxa"/>
            <w:vAlign w:val="center"/>
          </w:tcPr>
          <w:p w14:paraId="28BDAA34" w14:textId="77777777" w:rsidR="00DB646E" w:rsidRDefault="00000000">
            <w:r>
              <w:rPr>
                <w:sz w:val="16"/>
              </w:rPr>
              <w:t>Commercial BAU</w:t>
            </w:r>
          </w:p>
        </w:tc>
        <w:tc>
          <w:tcPr>
            <w:tcW w:w="2074" w:type="dxa"/>
            <w:vAlign w:val="center"/>
          </w:tcPr>
          <w:p w14:paraId="0F374FA8" w14:textId="77777777" w:rsidR="00DB646E" w:rsidRDefault="00000000">
            <w:r>
              <w:rPr>
                <w:sz w:val="16"/>
              </w:rPr>
              <w:t>Lower is worse</w:t>
            </w:r>
          </w:p>
        </w:tc>
        <w:tc>
          <w:tcPr>
            <w:tcW w:w="2074" w:type="dxa"/>
            <w:vAlign w:val="center"/>
          </w:tcPr>
          <w:p w14:paraId="57F78D70" w14:textId="77777777" w:rsidR="00DB646E" w:rsidRDefault="00000000">
            <w:r>
              <w:rPr>
                <w:sz w:val="16"/>
              </w:rPr>
              <w:t>Current: 95%</w:t>
            </w:r>
          </w:p>
        </w:tc>
        <w:tc>
          <w:tcPr>
            <w:tcW w:w="2074" w:type="dxa"/>
            <w:vAlign w:val="center"/>
          </w:tcPr>
          <w:p w14:paraId="4EF9DE60" w14:textId="77777777" w:rsidR="00DB646E" w:rsidRDefault="00000000">
            <w:r>
              <w:rPr>
                <w:sz w:val="16"/>
              </w:rPr>
              <w:t>Weak: P10 = 88%</w:t>
            </w:r>
          </w:p>
        </w:tc>
      </w:tr>
      <w:tr w:rsidR="00DB646E" w14:paraId="7601838E" w14:textId="77777777">
        <w:trPr>
          <w:jc w:val="center"/>
        </w:trPr>
        <w:tc>
          <w:tcPr>
            <w:tcW w:w="2074" w:type="dxa"/>
            <w:vAlign w:val="center"/>
          </w:tcPr>
          <w:p w14:paraId="1A414CB8" w14:textId="77777777" w:rsidR="00DB646E" w:rsidRDefault="00000000">
            <w:r>
              <w:rPr>
                <w:sz w:val="16"/>
              </w:rPr>
              <w:t>Base media support</w:t>
            </w:r>
          </w:p>
        </w:tc>
        <w:tc>
          <w:tcPr>
            <w:tcW w:w="2074" w:type="dxa"/>
            <w:vAlign w:val="center"/>
          </w:tcPr>
          <w:p w14:paraId="5628E4F1" w14:textId="77777777" w:rsidR="00DB646E" w:rsidRDefault="00000000">
            <w:r>
              <w:rPr>
                <w:sz w:val="16"/>
              </w:rPr>
              <w:t>Commercial BAU</w:t>
            </w:r>
          </w:p>
        </w:tc>
        <w:tc>
          <w:tcPr>
            <w:tcW w:w="2074" w:type="dxa"/>
            <w:vAlign w:val="center"/>
          </w:tcPr>
          <w:p w14:paraId="79E3D0EE" w14:textId="77777777" w:rsidR="00DB646E" w:rsidRDefault="00000000">
            <w:r>
              <w:rPr>
                <w:sz w:val="16"/>
              </w:rPr>
              <w:t>Lower is worse</w:t>
            </w:r>
          </w:p>
        </w:tc>
        <w:tc>
          <w:tcPr>
            <w:tcW w:w="2074" w:type="dxa"/>
            <w:vAlign w:val="center"/>
          </w:tcPr>
          <w:p w14:paraId="33D3436E" w14:textId="77777777" w:rsidR="00DB646E" w:rsidRDefault="00000000">
            <w:r>
              <w:rPr>
                <w:sz w:val="16"/>
              </w:rPr>
              <w:t>Current: $4.0M</w:t>
            </w:r>
          </w:p>
        </w:tc>
        <w:tc>
          <w:tcPr>
            <w:tcW w:w="2074" w:type="dxa"/>
            <w:vAlign w:val="center"/>
          </w:tcPr>
          <w:p w14:paraId="4ACEAE4C" w14:textId="77777777" w:rsidR="00DB646E" w:rsidRDefault="00000000">
            <w:r>
              <w:rPr>
                <w:sz w:val="16"/>
              </w:rPr>
              <w:t>Weak: P10 = $3.5M</w:t>
            </w:r>
          </w:p>
        </w:tc>
      </w:tr>
    </w:tbl>
    <w:p w14:paraId="3320D8A5" w14:textId="0A2A4FD2" w:rsidR="00DB646E" w:rsidRDefault="00DB646E"/>
    <w:p w14:paraId="2E7330B3" w14:textId="6DF3B356" w:rsidR="00F056B6" w:rsidRDefault="00F056B6">
      <w:r w:rsidRPr="00F056B6">
        <w:drawing>
          <wp:inline distT="0" distB="0" distL="0" distR="0" wp14:anchorId="16D69214" wp14:editId="465028DA">
            <wp:extent cx="3451291" cy="2103557"/>
            <wp:effectExtent l="19050" t="19050" r="15875" b="11430"/>
            <wp:docPr id="116022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8284" name=""/>
                    <pic:cNvPicPr/>
                  </pic:nvPicPr>
                  <pic:blipFill>
                    <a:blip r:embed="rId7"/>
                    <a:stretch>
                      <a:fillRect/>
                    </a:stretch>
                  </pic:blipFill>
                  <pic:spPr>
                    <a:xfrm>
                      <a:off x="0" y="0"/>
                      <a:ext cx="3469301" cy="2114534"/>
                    </a:xfrm>
                    <a:prstGeom prst="rect">
                      <a:avLst/>
                    </a:prstGeom>
                    <a:ln>
                      <a:solidFill>
                        <a:schemeClr val="bg1">
                          <a:lumMod val="50000"/>
                        </a:schemeClr>
                      </a:solidFill>
                    </a:ln>
                  </pic:spPr>
                </pic:pic>
              </a:graphicData>
            </a:graphic>
          </wp:inline>
        </w:drawing>
      </w:r>
      <w:r w:rsidR="00817C62" w:rsidRPr="00817C62">
        <w:rPr>
          <w:noProof/>
        </w:rPr>
        <w:t xml:space="preserve"> </w:t>
      </w:r>
      <w:r w:rsidR="00817C62" w:rsidRPr="00817C62">
        <w:rPr>
          <w:noProof/>
        </w:rPr>
        <w:drawing>
          <wp:inline distT="0" distB="0" distL="0" distR="0" wp14:anchorId="57816E51" wp14:editId="224E21CD">
            <wp:extent cx="2971800" cy="2091267"/>
            <wp:effectExtent l="19050" t="19050" r="19050" b="23495"/>
            <wp:docPr id="132632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2843" name=""/>
                    <pic:cNvPicPr/>
                  </pic:nvPicPr>
                  <pic:blipFill>
                    <a:blip r:embed="rId8"/>
                    <a:stretch>
                      <a:fillRect/>
                    </a:stretch>
                  </pic:blipFill>
                  <pic:spPr>
                    <a:xfrm>
                      <a:off x="0" y="0"/>
                      <a:ext cx="2977495" cy="2095274"/>
                    </a:xfrm>
                    <a:prstGeom prst="rect">
                      <a:avLst/>
                    </a:prstGeom>
                    <a:ln>
                      <a:solidFill>
                        <a:schemeClr val="bg1">
                          <a:lumMod val="50000"/>
                        </a:schemeClr>
                      </a:solidFill>
                    </a:ln>
                  </pic:spPr>
                </pic:pic>
              </a:graphicData>
            </a:graphic>
          </wp:inline>
        </w:drawing>
      </w:r>
    </w:p>
    <w:p w14:paraId="77933B04" w14:textId="77777777" w:rsidR="00817C62" w:rsidRDefault="00817C62">
      <w:pPr>
        <w:rPr>
          <w:b/>
          <w:color w:val="0B1F56"/>
          <w:sz w:val="26"/>
        </w:rPr>
      </w:pPr>
    </w:p>
    <w:p w14:paraId="0E2407BD" w14:textId="0C3C1235" w:rsidR="00DB646E" w:rsidRDefault="00000000">
      <w:r>
        <w:rPr>
          <w:b/>
          <w:color w:val="0B1F56"/>
          <w:sz w:val="26"/>
        </w:rPr>
        <w:t>Step 2. Validate that weak-tail weeks actually perform worse</w:t>
      </w:r>
    </w:p>
    <w:p w14:paraId="17499051" w14:textId="77777777" w:rsidR="00DB646E" w:rsidRDefault="00000000">
      <w:r>
        <w:t>A percentile threshold is only useful if it has business meaning. Validate each weak tail by comparing guest counts in weak-tail restaurant-weeks versus normal restaurant-weeks. The weak tail should have enough observations and should directionally underperform. If it does not, revisit the threshold, segment the KPI, or exclude the KPI from the official scenario.</w:t>
      </w:r>
    </w:p>
    <w:p w14:paraId="7C321ECE" w14:textId="77777777" w:rsidR="00DB646E" w:rsidRDefault="00000000">
      <w:pPr>
        <w:jc w:val="center"/>
      </w:pPr>
      <w:r>
        <w:rPr>
          <w:noProof/>
        </w:rPr>
        <w:drawing>
          <wp:inline distT="0" distB="0" distL="0" distR="0" wp14:anchorId="3840D6F0" wp14:editId="2A827481">
            <wp:extent cx="6126480" cy="2769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k_tail_validation.png"/>
                    <pic:cNvPicPr/>
                  </pic:nvPicPr>
                  <pic:blipFill>
                    <a:blip r:embed="rId9"/>
                    <a:stretch>
                      <a:fillRect/>
                    </a:stretch>
                  </pic:blipFill>
                  <pic:spPr>
                    <a:xfrm>
                      <a:off x="0" y="0"/>
                      <a:ext cx="6126480" cy="2769870"/>
                    </a:xfrm>
                    <a:prstGeom prst="rect">
                      <a:avLst/>
                    </a:prstGeom>
                  </pic:spPr>
                </pic:pic>
              </a:graphicData>
            </a:graphic>
          </wp:inline>
        </w:drawing>
      </w:r>
    </w:p>
    <w:p w14:paraId="29D4CB8F" w14:textId="77777777" w:rsidR="00DB646E" w:rsidRDefault="00000000">
      <w:pPr>
        <w:jc w:val="center"/>
      </w:pPr>
      <w:r>
        <w:rPr>
          <w:i/>
          <w:color w:val="595959"/>
          <w:sz w:val="17"/>
        </w:rPr>
        <w:t>Figure 2. Synthetic validation example. CSAT is shown on a 1-to-5 scale in the threshold table; weak CSAT weeks have lower guest counts.</w:t>
      </w:r>
    </w:p>
    <w:p w14:paraId="6391F734" w14:textId="77777777" w:rsidR="00DB646E" w:rsidRDefault="00000000">
      <w:r>
        <w:rPr>
          <w:b/>
          <w:color w:val="0B1F56"/>
          <w:sz w:val="26"/>
        </w:rPr>
        <w:t>Step 3. Train the interim foundation counterfactual regression</w:t>
      </w:r>
    </w:p>
    <w:p w14:paraId="71C55FF4" w14:textId="2598B11B" w:rsidR="00DB646E" w:rsidRDefault="00000000">
      <w:r>
        <w:t>The model should be an interim foundation counterfactual model, not the final MVM</w:t>
      </w:r>
      <w:r w:rsidR="00F056B6">
        <w:t>, using</w:t>
      </w:r>
      <w:r>
        <w:t xml:space="preserve"> the latest two years of weekly restaurant-level data. The target can be GC or log(GC). The model should include foundation variables, Commercial BAU variables, external context controls, fixed effects, and any available growth controls.</w:t>
      </w:r>
    </w:p>
    <w:p w14:paraId="3BFEFA38" w14:textId="77777777" w:rsidR="00DB646E" w:rsidRDefault="00000000">
      <w:r>
        <w:t>The reason for including external and available growth controls is to reduce omitted-variable bias. If promo, media, LTO, pricing changes, weather, or competitor pressure are missing, the foundation variables may accidentally absorb those effects. However, these controls are not used as the final growth-momentum attribution engine; that comes later through prior-informed analysis and final MVM reconciliation.</w:t>
      </w:r>
    </w:p>
    <w:p w14:paraId="3FD20372" w14:textId="77777777" w:rsidR="00DB646E" w:rsidRDefault="00000000">
      <w:r>
        <w:rPr>
          <w:b/>
          <w:sz w:val="21"/>
        </w:rPr>
        <w:lastRenderedPageBreak/>
        <w:t>Recommended interim model specification</w:t>
      </w:r>
    </w:p>
    <w:tbl>
      <w:tblPr>
        <w:tblStyle w:val="TableGrid"/>
        <w:tblW w:w="10340" w:type="dxa"/>
        <w:jc w:val="center"/>
        <w:tblLook w:val="04A0" w:firstRow="1" w:lastRow="0" w:firstColumn="1" w:lastColumn="0" w:noHBand="0" w:noVBand="1"/>
      </w:tblPr>
      <w:tblGrid>
        <w:gridCol w:w="3446"/>
        <w:gridCol w:w="3447"/>
        <w:gridCol w:w="3447"/>
      </w:tblGrid>
      <w:tr w:rsidR="00DB646E" w14:paraId="5DEA4935" w14:textId="77777777" w:rsidTr="00AF0C6C">
        <w:trPr>
          <w:trHeight w:val="187"/>
          <w:tblHeader/>
          <w:jc w:val="center"/>
        </w:trPr>
        <w:tc>
          <w:tcPr>
            <w:tcW w:w="3446" w:type="dxa"/>
            <w:shd w:val="clear" w:color="auto" w:fill="D9EAF7"/>
            <w:vAlign w:val="center"/>
          </w:tcPr>
          <w:p w14:paraId="76DB02BA" w14:textId="77777777" w:rsidR="00DB646E" w:rsidRDefault="00000000">
            <w:r>
              <w:rPr>
                <w:b/>
                <w:color w:val="0B1F56"/>
                <w:sz w:val="15"/>
              </w:rPr>
              <w:t>Model element</w:t>
            </w:r>
          </w:p>
        </w:tc>
        <w:tc>
          <w:tcPr>
            <w:tcW w:w="3447" w:type="dxa"/>
            <w:shd w:val="clear" w:color="auto" w:fill="D9EAF7"/>
            <w:vAlign w:val="center"/>
          </w:tcPr>
          <w:p w14:paraId="4B04A35D" w14:textId="77777777" w:rsidR="00DB646E" w:rsidRDefault="00000000">
            <w:r>
              <w:rPr>
                <w:b/>
                <w:color w:val="0B1F56"/>
                <w:sz w:val="15"/>
              </w:rPr>
              <w:t>Recommended setup</w:t>
            </w:r>
          </w:p>
        </w:tc>
        <w:tc>
          <w:tcPr>
            <w:tcW w:w="3447" w:type="dxa"/>
            <w:shd w:val="clear" w:color="auto" w:fill="D9EAF7"/>
            <w:vAlign w:val="center"/>
          </w:tcPr>
          <w:p w14:paraId="0BFC0220" w14:textId="77777777" w:rsidR="00DB646E" w:rsidRDefault="00000000">
            <w:r>
              <w:rPr>
                <w:b/>
                <w:color w:val="0B1F56"/>
                <w:sz w:val="15"/>
              </w:rPr>
              <w:t>Reason</w:t>
            </w:r>
          </w:p>
        </w:tc>
      </w:tr>
      <w:tr w:rsidR="00DB646E" w14:paraId="3ADB50E5" w14:textId="77777777" w:rsidTr="00AF0C6C">
        <w:trPr>
          <w:trHeight w:val="393"/>
          <w:jc w:val="center"/>
        </w:trPr>
        <w:tc>
          <w:tcPr>
            <w:tcW w:w="3446" w:type="dxa"/>
            <w:vAlign w:val="center"/>
          </w:tcPr>
          <w:p w14:paraId="00077051" w14:textId="77777777" w:rsidR="00DB646E" w:rsidRDefault="00000000">
            <w:r>
              <w:rPr>
                <w:sz w:val="15"/>
              </w:rPr>
              <w:t>Target</w:t>
            </w:r>
          </w:p>
        </w:tc>
        <w:tc>
          <w:tcPr>
            <w:tcW w:w="3447" w:type="dxa"/>
            <w:vAlign w:val="center"/>
          </w:tcPr>
          <w:p w14:paraId="386C82C8" w14:textId="77777777" w:rsidR="00DB646E" w:rsidRDefault="00000000">
            <w:r>
              <w:rPr>
                <w:sz w:val="15"/>
              </w:rPr>
              <w:t>Weekly restaurant-level log(GC) or GC</w:t>
            </w:r>
          </w:p>
        </w:tc>
        <w:tc>
          <w:tcPr>
            <w:tcW w:w="3447" w:type="dxa"/>
            <w:vAlign w:val="center"/>
          </w:tcPr>
          <w:p w14:paraId="35E204B4" w14:textId="77777777" w:rsidR="00DB646E" w:rsidRDefault="00000000">
            <w:r>
              <w:rPr>
                <w:sz w:val="15"/>
              </w:rPr>
              <w:t>Log target usually stabilizes variance; convert back for GC output.</w:t>
            </w:r>
          </w:p>
        </w:tc>
      </w:tr>
      <w:tr w:rsidR="00DB646E" w14:paraId="4AEEB977" w14:textId="77777777" w:rsidTr="00AF0C6C">
        <w:trPr>
          <w:trHeight w:val="376"/>
          <w:jc w:val="center"/>
        </w:trPr>
        <w:tc>
          <w:tcPr>
            <w:tcW w:w="3446" w:type="dxa"/>
            <w:vAlign w:val="center"/>
          </w:tcPr>
          <w:p w14:paraId="0ABB436D" w14:textId="77777777" w:rsidR="00DB646E" w:rsidRDefault="00000000">
            <w:r>
              <w:rPr>
                <w:sz w:val="15"/>
              </w:rPr>
              <w:t>Time window</w:t>
            </w:r>
          </w:p>
        </w:tc>
        <w:tc>
          <w:tcPr>
            <w:tcW w:w="3447" w:type="dxa"/>
            <w:vAlign w:val="center"/>
          </w:tcPr>
          <w:p w14:paraId="4D166518" w14:textId="77777777" w:rsidR="00DB646E" w:rsidRDefault="00000000">
            <w:r>
              <w:rPr>
                <w:sz w:val="15"/>
              </w:rPr>
              <w:t>Latest 104 weeks / 2 years</w:t>
            </w:r>
          </w:p>
        </w:tc>
        <w:tc>
          <w:tcPr>
            <w:tcW w:w="3447" w:type="dxa"/>
            <w:vAlign w:val="center"/>
          </w:tcPr>
          <w:p w14:paraId="6F3121E8" w14:textId="77777777" w:rsidR="00DB646E" w:rsidRDefault="00000000">
            <w:r>
              <w:rPr>
                <w:sz w:val="15"/>
              </w:rPr>
              <w:t>Long enough for variation; short enough to reflect current operations.</w:t>
            </w:r>
          </w:p>
        </w:tc>
      </w:tr>
      <w:tr w:rsidR="00DB646E" w14:paraId="255F2474" w14:textId="77777777" w:rsidTr="00AF0C6C">
        <w:trPr>
          <w:trHeight w:val="205"/>
          <w:jc w:val="center"/>
        </w:trPr>
        <w:tc>
          <w:tcPr>
            <w:tcW w:w="3446" w:type="dxa"/>
            <w:vAlign w:val="center"/>
          </w:tcPr>
          <w:p w14:paraId="434DF18F" w14:textId="77777777" w:rsidR="00DB646E" w:rsidRDefault="00000000">
            <w:r>
              <w:rPr>
                <w:sz w:val="15"/>
              </w:rPr>
              <w:t>Foundation features</w:t>
            </w:r>
          </w:p>
        </w:tc>
        <w:tc>
          <w:tcPr>
            <w:tcW w:w="3447" w:type="dxa"/>
            <w:vAlign w:val="center"/>
          </w:tcPr>
          <w:p w14:paraId="2038C0EF" w14:textId="77777777" w:rsidR="00DB646E" w:rsidRDefault="00000000">
            <w:r>
              <w:rPr>
                <w:sz w:val="15"/>
              </w:rPr>
              <w:t>Speed, CSAT, OOS, uptime, staffing, hours</w:t>
            </w:r>
          </w:p>
        </w:tc>
        <w:tc>
          <w:tcPr>
            <w:tcW w:w="3447" w:type="dxa"/>
            <w:vAlign w:val="center"/>
          </w:tcPr>
          <w:p w14:paraId="3C4E5D54" w14:textId="77777777" w:rsidR="00DB646E" w:rsidRDefault="00000000">
            <w:r>
              <w:rPr>
                <w:sz w:val="15"/>
              </w:rPr>
              <w:t>Main variables for protected-base estimate.</w:t>
            </w:r>
          </w:p>
        </w:tc>
      </w:tr>
      <w:tr w:rsidR="00DB646E" w14:paraId="1ABB070B" w14:textId="77777777" w:rsidTr="00AF0C6C">
        <w:trPr>
          <w:trHeight w:val="376"/>
          <w:jc w:val="center"/>
        </w:trPr>
        <w:tc>
          <w:tcPr>
            <w:tcW w:w="3446" w:type="dxa"/>
            <w:vAlign w:val="center"/>
          </w:tcPr>
          <w:p w14:paraId="4E062DD0" w14:textId="77777777" w:rsidR="00DB646E" w:rsidRDefault="00000000">
            <w:r>
              <w:rPr>
                <w:sz w:val="15"/>
              </w:rPr>
              <w:t>Commercial BAU features</w:t>
            </w:r>
          </w:p>
        </w:tc>
        <w:tc>
          <w:tcPr>
            <w:tcW w:w="3447" w:type="dxa"/>
            <w:vAlign w:val="center"/>
          </w:tcPr>
          <w:p w14:paraId="5E185CD4" w14:textId="77777777" w:rsidR="00DB646E" w:rsidRDefault="00000000">
            <w:r>
              <w:rPr>
                <w:sz w:val="15"/>
              </w:rPr>
              <w:t>Pricing adoption, base media, loyalty base, delivery access</w:t>
            </w:r>
          </w:p>
        </w:tc>
        <w:tc>
          <w:tcPr>
            <w:tcW w:w="3447" w:type="dxa"/>
            <w:vAlign w:val="center"/>
          </w:tcPr>
          <w:p w14:paraId="67AE09CE" w14:textId="77777777" w:rsidR="00DB646E" w:rsidRDefault="00000000">
            <w:r>
              <w:rPr>
                <w:sz w:val="15"/>
              </w:rPr>
              <w:t>Always-on commercial system that protects demand.</w:t>
            </w:r>
          </w:p>
        </w:tc>
      </w:tr>
      <w:tr w:rsidR="00DB646E" w14:paraId="2FB72D10" w14:textId="77777777" w:rsidTr="00AF0C6C">
        <w:trPr>
          <w:trHeight w:val="393"/>
          <w:jc w:val="center"/>
        </w:trPr>
        <w:tc>
          <w:tcPr>
            <w:tcW w:w="3446" w:type="dxa"/>
            <w:vAlign w:val="center"/>
          </w:tcPr>
          <w:p w14:paraId="1409F75B" w14:textId="77777777" w:rsidR="00DB646E" w:rsidRDefault="00000000">
            <w:r>
              <w:rPr>
                <w:sz w:val="15"/>
              </w:rPr>
              <w:t>External controls</w:t>
            </w:r>
          </w:p>
        </w:tc>
        <w:tc>
          <w:tcPr>
            <w:tcW w:w="3447" w:type="dxa"/>
            <w:vAlign w:val="center"/>
          </w:tcPr>
          <w:p w14:paraId="5D63270A" w14:textId="77777777" w:rsidR="00DB646E" w:rsidRDefault="00000000">
            <w:r>
              <w:rPr>
                <w:sz w:val="15"/>
              </w:rPr>
              <w:t>Weather, macro, competition, calendar</w:t>
            </w:r>
          </w:p>
        </w:tc>
        <w:tc>
          <w:tcPr>
            <w:tcW w:w="3447" w:type="dxa"/>
            <w:vAlign w:val="center"/>
          </w:tcPr>
          <w:p w14:paraId="3FDD8153" w14:textId="77777777" w:rsidR="00DB646E" w:rsidRDefault="00000000">
            <w:r>
              <w:rPr>
                <w:sz w:val="15"/>
              </w:rPr>
              <w:t>Prevent foundation coefficients from absorbing external effects.</w:t>
            </w:r>
          </w:p>
        </w:tc>
      </w:tr>
      <w:tr w:rsidR="00DB646E" w14:paraId="0D2F7B08" w14:textId="77777777" w:rsidTr="00AF0C6C">
        <w:trPr>
          <w:trHeight w:val="393"/>
          <w:jc w:val="center"/>
        </w:trPr>
        <w:tc>
          <w:tcPr>
            <w:tcW w:w="3446" w:type="dxa"/>
            <w:vAlign w:val="center"/>
          </w:tcPr>
          <w:p w14:paraId="21488579" w14:textId="77777777" w:rsidR="00DB646E" w:rsidRDefault="00000000">
            <w:r>
              <w:rPr>
                <w:sz w:val="15"/>
              </w:rPr>
              <w:t>Available growth controls</w:t>
            </w:r>
          </w:p>
        </w:tc>
        <w:tc>
          <w:tcPr>
            <w:tcW w:w="3447" w:type="dxa"/>
            <w:vAlign w:val="center"/>
          </w:tcPr>
          <w:p w14:paraId="76353172" w14:textId="77777777" w:rsidR="00DB646E" w:rsidRDefault="00000000">
            <w:r>
              <w:rPr>
                <w:sz w:val="15"/>
              </w:rPr>
              <w:t>Promo, LTO, campaign media, delivery growth</w:t>
            </w:r>
          </w:p>
        </w:tc>
        <w:tc>
          <w:tcPr>
            <w:tcW w:w="3447" w:type="dxa"/>
            <w:vAlign w:val="center"/>
          </w:tcPr>
          <w:p w14:paraId="71B6CEFC" w14:textId="77777777" w:rsidR="00DB646E" w:rsidRDefault="00000000">
            <w:r>
              <w:rPr>
                <w:sz w:val="15"/>
              </w:rPr>
              <w:t>Include if available to reduce omitted-variable bias; not final attribution.</w:t>
            </w:r>
          </w:p>
        </w:tc>
      </w:tr>
      <w:tr w:rsidR="00DB646E" w14:paraId="08C0775E" w14:textId="77777777" w:rsidTr="00AF0C6C">
        <w:trPr>
          <w:trHeight w:val="171"/>
          <w:jc w:val="center"/>
        </w:trPr>
        <w:tc>
          <w:tcPr>
            <w:tcW w:w="3446" w:type="dxa"/>
            <w:vAlign w:val="center"/>
          </w:tcPr>
          <w:p w14:paraId="718FA185" w14:textId="77777777" w:rsidR="00DB646E" w:rsidRDefault="00000000">
            <w:r>
              <w:rPr>
                <w:sz w:val="15"/>
              </w:rPr>
              <w:t>Fixed effects</w:t>
            </w:r>
          </w:p>
        </w:tc>
        <w:tc>
          <w:tcPr>
            <w:tcW w:w="3447" w:type="dxa"/>
            <w:vAlign w:val="center"/>
          </w:tcPr>
          <w:p w14:paraId="2E344D53" w14:textId="77777777" w:rsidR="00DB646E" w:rsidRDefault="00000000">
            <w:r>
              <w:rPr>
                <w:sz w:val="15"/>
              </w:rPr>
              <w:t>Restaurant / market FE and week / month FE</w:t>
            </w:r>
          </w:p>
        </w:tc>
        <w:tc>
          <w:tcPr>
            <w:tcW w:w="3447" w:type="dxa"/>
            <w:vAlign w:val="center"/>
          </w:tcPr>
          <w:p w14:paraId="2787331C" w14:textId="77777777" w:rsidR="00DB646E" w:rsidRDefault="00000000">
            <w:r>
              <w:rPr>
                <w:sz w:val="15"/>
              </w:rPr>
              <w:t>Control for unit and time differences.</w:t>
            </w:r>
          </w:p>
        </w:tc>
      </w:tr>
    </w:tbl>
    <w:p w14:paraId="5AAFFB7B" w14:textId="77777777" w:rsidR="00DB646E" w:rsidRDefault="00DB646E"/>
    <w:p w14:paraId="06BEC068" w14:textId="77777777" w:rsidR="00AF0C6C" w:rsidRDefault="00AF0C6C" w:rsidP="00AF0C6C">
      <w:r>
        <w:rPr>
          <w:b/>
          <w:sz w:val="21"/>
        </w:rPr>
        <w:t>Illustrative regression output (synthetic coefficients only)</w:t>
      </w:r>
    </w:p>
    <w:tbl>
      <w:tblPr>
        <w:tblStyle w:val="LightList-Accent1"/>
        <w:tblW w:w="10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7"/>
        <w:gridCol w:w="3467"/>
        <w:gridCol w:w="3467"/>
      </w:tblGrid>
      <w:tr w:rsidR="00AF0C6C" w:rsidRPr="00AF0C6C" w14:paraId="23FA806B" w14:textId="77777777" w:rsidTr="00AF0C6C">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467" w:type="dxa"/>
            <w:shd w:val="clear" w:color="auto" w:fill="DAEEF3" w:themeFill="accent5" w:themeFillTint="33"/>
          </w:tcPr>
          <w:p w14:paraId="5EE8177E" w14:textId="77777777" w:rsidR="00AF0C6C" w:rsidRPr="00AF0C6C" w:rsidRDefault="00AF0C6C" w:rsidP="00B437FB">
            <w:pPr>
              <w:rPr>
                <w:b w:val="0"/>
                <w:color w:val="auto"/>
                <w:sz w:val="15"/>
              </w:rPr>
            </w:pPr>
            <w:r w:rsidRPr="00AF0C6C">
              <w:rPr>
                <w:color w:val="auto"/>
                <w:sz w:val="15"/>
              </w:rPr>
              <w:t>Variable</w:t>
            </w:r>
          </w:p>
        </w:tc>
        <w:tc>
          <w:tcPr>
            <w:tcW w:w="3467" w:type="dxa"/>
            <w:shd w:val="clear" w:color="auto" w:fill="DAEEF3" w:themeFill="accent5" w:themeFillTint="33"/>
          </w:tcPr>
          <w:p w14:paraId="08DA2215" w14:textId="77777777" w:rsidR="00AF0C6C" w:rsidRPr="00AF0C6C" w:rsidRDefault="00AF0C6C" w:rsidP="00B437FB">
            <w:pPr>
              <w:cnfStyle w:val="100000000000" w:firstRow="1" w:lastRow="0" w:firstColumn="0" w:lastColumn="0" w:oddVBand="0" w:evenVBand="0" w:oddHBand="0" w:evenHBand="0" w:firstRowFirstColumn="0" w:firstRowLastColumn="0" w:lastRowFirstColumn="0" w:lastRowLastColumn="0"/>
              <w:rPr>
                <w:b w:val="0"/>
                <w:color w:val="auto"/>
                <w:sz w:val="15"/>
              </w:rPr>
            </w:pPr>
            <w:r w:rsidRPr="00AF0C6C">
              <w:rPr>
                <w:color w:val="auto"/>
                <w:sz w:val="15"/>
              </w:rPr>
              <w:t>Illustrative coefficient</w:t>
            </w:r>
          </w:p>
        </w:tc>
        <w:tc>
          <w:tcPr>
            <w:tcW w:w="3467" w:type="dxa"/>
            <w:shd w:val="clear" w:color="auto" w:fill="DAEEF3" w:themeFill="accent5" w:themeFillTint="33"/>
          </w:tcPr>
          <w:p w14:paraId="335A22EC" w14:textId="77777777" w:rsidR="00AF0C6C" w:rsidRPr="00AF0C6C" w:rsidRDefault="00AF0C6C" w:rsidP="00B437FB">
            <w:pPr>
              <w:cnfStyle w:val="100000000000" w:firstRow="1" w:lastRow="0" w:firstColumn="0" w:lastColumn="0" w:oddVBand="0" w:evenVBand="0" w:oddHBand="0" w:evenHBand="0" w:firstRowFirstColumn="0" w:firstRowLastColumn="0" w:lastRowFirstColumn="0" w:lastRowLastColumn="0"/>
              <w:rPr>
                <w:b w:val="0"/>
                <w:color w:val="auto"/>
                <w:sz w:val="15"/>
              </w:rPr>
            </w:pPr>
            <w:r w:rsidRPr="00AF0C6C">
              <w:rPr>
                <w:color w:val="auto"/>
                <w:sz w:val="15"/>
              </w:rPr>
              <w:t>Interpretation</w:t>
            </w:r>
          </w:p>
        </w:tc>
      </w:tr>
      <w:tr w:rsidR="00AF0C6C" w:rsidRPr="00AF0C6C" w14:paraId="2676A536" w14:textId="77777777" w:rsidTr="00AF0C6C">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467" w:type="dxa"/>
            <w:tcBorders>
              <w:top w:val="none" w:sz="0" w:space="0" w:color="auto"/>
              <w:left w:val="none" w:sz="0" w:space="0" w:color="auto"/>
              <w:bottom w:val="none" w:sz="0" w:space="0" w:color="auto"/>
            </w:tcBorders>
          </w:tcPr>
          <w:p w14:paraId="5C1D43B0" w14:textId="77777777" w:rsidR="00AF0C6C" w:rsidRPr="00AF0C6C" w:rsidRDefault="00AF0C6C" w:rsidP="00B437FB">
            <w:pPr>
              <w:rPr>
                <w:b w:val="0"/>
                <w:sz w:val="15"/>
              </w:rPr>
            </w:pPr>
            <w:r w:rsidRPr="00AF0C6C">
              <w:rPr>
                <w:b w:val="0"/>
                <w:sz w:val="15"/>
              </w:rPr>
              <w:t>Speed of service (sec)</w:t>
            </w:r>
          </w:p>
        </w:tc>
        <w:tc>
          <w:tcPr>
            <w:tcW w:w="3467" w:type="dxa"/>
            <w:tcBorders>
              <w:top w:val="none" w:sz="0" w:space="0" w:color="auto"/>
              <w:bottom w:val="none" w:sz="0" w:space="0" w:color="auto"/>
            </w:tcBorders>
          </w:tcPr>
          <w:p w14:paraId="69BAA754" w14:textId="77777777" w:rsidR="00AF0C6C" w:rsidRPr="00AF0C6C" w:rsidRDefault="00AF0C6C" w:rsidP="00B437FB">
            <w:pPr>
              <w:cnfStyle w:val="000000100000" w:firstRow="0" w:lastRow="0" w:firstColumn="0" w:lastColumn="0" w:oddVBand="0" w:evenVBand="0" w:oddHBand="1" w:evenHBand="0" w:firstRowFirstColumn="0" w:firstRowLastColumn="0" w:lastRowFirstColumn="0" w:lastRowLastColumn="0"/>
              <w:rPr>
                <w:bCs/>
                <w:sz w:val="15"/>
              </w:rPr>
            </w:pPr>
            <w:r w:rsidRPr="00AF0C6C">
              <w:rPr>
                <w:bCs/>
                <w:sz w:val="15"/>
              </w:rPr>
              <w:t>-0</w:t>
            </w:r>
          </w:p>
        </w:tc>
        <w:tc>
          <w:tcPr>
            <w:tcW w:w="3467" w:type="dxa"/>
            <w:tcBorders>
              <w:top w:val="none" w:sz="0" w:space="0" w:color="auto"/>
              <w:bottom w:val="none" w:sz="0" w:space="0" w:color="auto"/>
              <w:right w:val="none" w:sz="0" w:space="0" w:color="auto"/>
            </w:tcBorders>
          </w:tcPr>
          <w:p w14:paraId="38B22D0A" w14:textId="77777777" w:rsidR="00AF0C6C" w:rsidRPr="00AF0C6C" w:rsidRDefault="00AF0C6C" w:rsidP="00B437FB">
            <w:pPr>
              <w:cnfStyle w:val="000000100000" w:firstRow="0" w:lastRow="0" w:firstColumn="0" w:lastColumn="0" w:oddVBand="0" w:evenVBand="0" w:oddHBand="1" w:evenHBand="0" w:firstRowFirstColumn="0" w:firstRowLastColumn="0" w:lastRowFirstColumn="0" w:lastRowLastColumn="0"/>
              <w:rPr>
                <w:bCs/>
                <w:sz w:val="15"/>
              </w:rPr>
            </w:pPr>
            <w:r w:rsidRPr="00AF0C6C">
              <w:rPr>
                <w:bCs/>
                <w:sz w:val="15"/>
              </w:rPr>
              <w:t>Slower speed lowers GC</w:t>
            </w:r>
          </w:p>
        </w:tc>
      </w:tr>
      <w:tr w:rsidR="00AF0C6C" w:rsidRPr="00AF0C6C" w14:paraId="1775CA40" w14:textId="77777777" w:rsidTr="00AF0C6C">
        <w:trPr>
          <w:trHeight w:val="244"/>
        </w:trPr>
        <w:tc>
          <w:tcPr>
            <w:cnfStyle w:val="001000000000" w:firstRow="0" w:lastRow="0" w:firstColumn="1" w:lastColumn="0" w:oddVBand="0" w:evenVBand="0" w:oddHBand="0" w:evenHBand="0" w:firstRowFirstColumn="0" w:firstRowLastColumn="0" w:lastRowFirstColumn="0" w:lastRowLastColumn="0"/>
            <w:tcW w:w="3467" w:type="dxa"/>
          </w:tcPr>
          <w:p w14:paraId="30ACD485" w14:textId="77777777" w:rsidR="00AF0C6C" w:rsidRPr="00AF0C6C" w:rsidRDefault="00AF0C6C" w:rsidP="00B437FB">
            <w:pPr>
              <w:rPr>
                <w:b w:val="0"/>
                <w:sz w:val="15"/>
              </w:rPr>
            </w:pPr>
            <w:r w:rsidRPr="00AF0C6C">
              <w:rPr>
                <w:b w:val="0"/>
                <w:sz w:val="15"/>
              </w:rPr>
              <w:t>CSAT (1–5)</w:t>
            </w:r>
          </w:p>
        </w:tc>
        <w:tc>
          <w:tcPr>
            <w:tcW w:w="3467" w:type="dxa"/>
          </w:tcPr>
          <w:p w14:paraId="7161CC3A" w14:textId="77777777" w:rsidR="00AF0C6C" w:rsidRPr="00AF0C6C" w:rsidRDefault="00AF0C6C" w:rsidP="00B437FB">
            <w:pPr>
              <w:cnfStyle w:val="000000000000" w:firstRow="0" w:lastRow="0" w:firstColumn="0" w:lastColumn="0" w:oddVBand="0" w:evenVBand="0" w:oddHBand="0" w:evenHBand="0" w:firstRowFirstColumn="0" w:firstRowLastColumn="0" w:lastRowFirstColumn="0" w:lastRowLastColumn="0"/>
              <w:rPr>
                <w:bCs/>
                <w:sz w:val="15"/>
              </w:rPr>
            </w:pPr>
            <w:r w:rsidRPr="00AF0C6C">
              <w:rPr>
                <w:bCs/>
                <w:sz w:val="15"/>
              </w:rPr>
              <w:t>0.05</w:t>
            </w:r>
          </w:p>
        </w:tc>
        <w:tc>
          <w:tcPr>
            <w:tcW w:w="3467" w:type="dxa"/>
          </w:tcPr>
          <w:p w14:paraId="4FE4CC13" w14:textId="77777777" w:rsidR="00AF0C6C" w:rsidRPr="00AF0C6C" w:rsidRDefault="00AF0C6C" w:rsidP="00B437FB">
            <w:pPr>
              <w:cnfStyle w:val="000000000000" w:firstRow="0" w:lastRow="0" w:firstColumn="0" w:lastColumn="0" w:oddVBand="0" w:evenVBand="0" w:oddHBand="0" w:evenHBand="0" w:firstRowFirstColumn="0" w:firstRowLastColumn="0" w:lastRowFirstColumn="0" w:lastRowLastColumn="0"/>
              <w:rPr>
                <w:bCs/>
                <w:sz w:val="15"/>
              </w:rPr>
            </w:pPr>
            <w:r w:rsidRPr="00AF0C6C">
              <w:rPr>
                <w:bCs/>
                <w:sz w:val="15"/>
              </w:rPr>
              <w:t>Higher satisfaction supports GC</w:t>
            </w:r>
          </w:p>
        </w:tc>
      </w:tr>
      <w:tr w:rsidR="00AF0C6C" w:rsidRPr="00AF0C6C" w14:paraId="26BE0FAD" w14:textId="77777777" w:rsidTr="00AF0C6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467" w:type="dxa"/>
            <w:tcBorders>
              <w:top w:val="none" w:sz="0" w:space="0" w:color="auto"/>
              <w:left w:val="none" w:sz="0" w:space="0" w:color="auto"/>
              <w:bottom w:val="none" w:sz="0" w:space="0" w:color="auto"/>
            </w:tcBorders>
          </w:tcPr>
          <w:p w14:paraId="1CDCA875" w14:textId="77777777" w:rsidR="00AF0C6C" w:rsidRPr="00AF0C6C" w:rsidRDefault="00AF0C6C" w:rsidP="00B437FB">
            <w:pPr>
              <w:rPr>
                <w:b w:val="0"/>
                <w:sz w:val="15"/>
              </w:rPr>
            </w:pPr>
            <w:r w:rsidRPr="00AF0C6C">
              <w:rPr>
                <w:b w:val="0"/>
                <w:sz w:val="15"/>
              </w:rPr>
              <w:t>Out-of-stock rate (%)</w:t>
            </w:r>
          </w:p>
        </w:tc>
        <w:tc>
          <w:tcPr>
            <w:tcW w:w="3467" w:type="dxa"/>
            <w:tcBorders>
              <w:top w:val="none" w:sz="0" w:space="0" w:color="auto"/>
              <w:bottom w:val="none" w:sz="0" w:space="0" w:color="auto"/>
            </w:tcBorders>
          </w:tcPr>
          <w:p w14:paraId="5837549D" w14:textId="77777777" w:rsidR="00AF0C6C" w:rsidRPr="00AF0C6C" w:rsidRDefault="00AF0C6C" w:rsidP="00B437FB">
            <w:pPr>
              <w:cnfStyle w:val="000000100000" w:firstRow="0" w:lastRow="0" w:firstColumn="0" w:lastColumn="0" w:oddVBand="0" w:evenVBand="0" w:oddHBand="1" w:evenHBand="0" w:firstRowFirstColumn="0" w:firstRowLastColumn="0" w:lastRowFirstColumn="0" w:lastRowLastColumn="0"/>
              <w:rPr>
                <w:bCs/>
                <w:sz w:val="15"/>
              </w:rPr>
            </w:pPr>
            <w:r w:rsidRPr="00AF0C6C">
              <w:rPr>
                <w:bCs/>
                <w:sz w:val="15"/>
              </w:rPr>
              <w:t>-0.03</w:t>
            </w:r>
          </w:p>
        </w:tc>
        <w:tc>
          <w:tcPr>
            <w:tcW w:w="3467" w:type="dxa"/>
            <w:tcBorders>
              <w:top w:val="none" w:sz="0" w:space="0" w:color="auto"/>
              <w:bottom w:val="none" w:sz="0" w:space="0" w:color="auto"/>
              <w:right w:val="none" w:sz="0" w:space="0" w:color="auto"/>
            </w:tcBorders>
          </w:tcPr>
          <w:p w14:paraId="5DB5E925" w14:textId="77777777" w:rsidR="00AF0C6C" w:rsidRPr="00AF0C6C" w:rsidRDefault="00AF0C6C" w:rsidP="00B437FB">
            <w:pPr>
              <w:cnfStyle w:val="000000100000" w:firstRow="0" w:lastRow="0" w:firstColumn="0" w:lastColumn="0" w:oddVBand="0" w:evenVBand="0" w:oddHBand="1" w:evenHBand="0" w:firstRowFirstColumn="0" w:firstRowLastColumn="0" w:lastRowFirstColumn="0" w:lastRowLastColumn="0"/>
              <w:rPr>
                <w:bCs/>
                <w:sz w:val="15"/>
              </w:rPr>
            </w:pPr>
            <w:r w:rsidRPr="00AF0C6C">
              <w:rPr>
                <w:bCs/>
                <w:sz w:val="15"/>
              </w:rPr>
              <w:t>More stockouts reduce GC</w:t>
            </w:r>
          </w:p>
        </w:tc>
      </w:tr>
      <w:tr w:rsidR="00AF0C6C" w:rsidRPr="00AF0C6C" w14:paraId="41DA3E0C" w14:textId="77777777" w:rsidTr="00AF0C6C">
        <w:trPr>
          <w:trHeight w:val="244"/>
        </w:trPr>
        <w:tc>
          <w:tcPr>
            <w:cnfStyle w:val="001000000000" w:firstRow="0" w:lastRow="0" w:firstColumn="1" w:lastColumn="0" w:oddVBand="0" w:evenVBand="0" w:oddHBand="0" w:evenHBand="0" w:firstRowFirstColumn="0" w:firstRowLastColumn="0" w:lastRowFirstColumn="0" w:lastRowLastColumn="0"/>
            <w:tcW w:w="3467" w:type="dxa"/>
          </w:tcPr>
          <w:p w14:paraId="646C3484" w14:textId="77777777" w:rsidR="00AF0C6C" w:rsidRPr="00AF0C6C" w:rsidRDefault="00AF0C6C" w:rsidP="00B437FB">
            <w:pPr>
              <w:rPr>
                <w:b w:val="0"/>
                <w:sz w:val="15"/>
              </w:rPr>
            </w:pPr>
            <w:r w:rsidRPr="00AF0C6C">
              <w:rPr>
                <w:b w:val="0"/>
                <w:sz w:val="15"/>
              </w:rPr>
              <w:t>Technology uptime (%)</w:t>
            </w:r>
          </w:p>
        </w:tc>
        <w:tc>
          <w:tcPr>
            <w:tcW w:w="3467" w:type="dxa"/>
          </w:tcPr>
          <w:p w14:paraId="26278F89" w14:textId="77777777" w:rsidR="00AF0C6C" w:rsidRPr="00AF0C6C" w:rsidRDefault="00AF0C6C" w:rsidP="00B437FB">
            <w:pPr>
              <w:cnfStyle w:val="000000000000" w:firstRow="0" w:lastRow="0" w:firstColumn="0" w:lastColumn="0" w:oddVBand="0" w:evenVBand="0" w:oddHBand="0" w:evenHBand="0" w:firstRowFirstColumn="0" w:firstRowLastColumn="0" w:lastRowFirstColumn="0" w:lastRowLastColumn="0"/>
              <w:rPr>
                <w:bCs/>
                <w:sz w:val="15"/>
              </w:rPr>
            </w:pPr>
            <w:r w:rsidRPr="00AF0C6C">
              <w:rPr>
                <w:bCs/>
                <w:sz w:val="15"/>
              </w:rPr>
              <w:t>0.01</w:t>
            </w:r>
          </w:p>
        </w:tc>
        <w:tc>
          <w:tcPr>
            <w:tcW w:w="3467" w:type="dxa"/>
          </w:tcPr>
          <w:p w14:paraId="56BA3D9B" w14:textId="77777777" w:rsidR="00AF0C6C" w:rsidRPr="00AF0C6C" w:rsidRDefault="00AF0C6C" w:rsidP="00B437FB">
            <w:pPr>
              <w:cnfStyle w:val="000000000000" w:firstRow="0" w:lastRow="0" w:firstColumn="0" w:lastColumn="0" w:oddVBand="0" w:evenVBand="0" w:oddHBand="0" w:evenHBand="0" w:firstRowFirstColumn="0" w:firstRowLastColumn="0" w:lastRowFirstColumn="0" w:lastRowLastColumn="0"/>
              <w:rPr>
                <w:bCs/>
                <w:sz w:val="15"/>
              </w:rPr>
            </w:pPr>
            <w:r w:rsidRPr="00AF0C6C">
              <w:rPr>
                <w:bCs/>
                <w:sz w:val="15"/>
              </w:rPr>
              <w:t>Higher uptime supports conversion</w:t>
            </w:r>
          </w:p>
        </w:tc>
      </w:tr>
      <w:tr w:rsidR="00AF0C6C" w:rsidRPr="00AF0C6C" w14:paraId="49677D05" w14:textId="77777777" w:rsidTr="00AF0C6C">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467" w:type="dxa"/>
            <w:tcBorders>
              <w:top w:val="none" w:sz="0" w:space="0" w:color="auto"/>
              <w:left w:val="none" w:sz="0" w:space="0" w:color="auto"/>
              <w:bottom w:val="none" w:sz="0" w:space="0" w:color="auto"/>
            </w:tcBorders>
          </w:tcPr>
          <w:p w14:paraId="6C8B2AEC" w14:textId="77777777" w:rsidR="00AF0C6C" w:rsidRPr="00AF0C6C" w:rsidRDefault="00AF0C6C" w:rsidP="00B437FB">
            <w:pPr>
              <w:rPr>
                <w:b w:val="0"/>
                <w:sz w:val="15"/>
              </w:rPr>
            </w:pPr>
            <w:r w:rsidRPr="00AF0C6C">
              <w:rPr>
                <w:b w:val="0"/>
                <w:sz w:val="15"/>
              </w:rPr>
              <w:t>Pricing adoption (%)</w:t>
            </w:r>
          </w:p>
        </w:tc>
        <w:tc>
          <w:tcPr>
            <w:tcW w:w="3467" w:type="dxa"/>
            <w:tcBorders>
              <w:top w:val="none" w:sz="0" w:space="0" w:color="auto"/>
              <w:bottom w:val="none" w:sz="0" w:space="0" w:color="auto"/>
            </w:tcBorders>
          </w:tcPr>
          <w:p w14:paraId="31FA9466" w14:textId="77777777" w:rsidR="00AF0C6C" w:rsidRPr="00AF0C6C" w:rsidRDefault="00AF0C6C" w:rsidP="00B437FB">
            <w:pPr>
              <w:cnfStyle w:val="000000100000" w:firstRow="0" w:lastRow="0" w:firstColumn="0" w:lastColumn="0" w:oddVBand="0" w:evenVBand="0" w:oddHBand="1" w:evenHBand="0" w:firstRowFirstColumn="0" w:firstRowLastColumn="0" w:lastRowFirstColumn="0" w:lastRowLastColumn="0"/>
              <w:rPr>
                <w:bCs/>
                <w:sz w:val="15"/>
              </w:rPr>
            </w:pPr>
            <w:r w:rsidRPr="00AF0C6C">
              <w:rPr>
                <w:bCs/>
                <w:sz w:val="15"/>
              </w:rPr>
              <w:t>0</w:t>
            </w:r>
          </w:p>
        </w:tc>
        <w:tc>
          <w:tcPr>
            <w:tcW w:w="3467" w:type="dxa"/>
            <w:tcBorders>
              <w:top w:val="none" w:sz="0" w:space="0" w:color="auto"/>
              <w:bottom w:val="none" w:sz="0" w:space="0" w:color="auto"/>
              <w:right w:val="none" w:sz="0" w:space="0" w:color="auto"/>
            </w:tcBorders>
          </w:tcPr>
          <w:p w14:paraId="751BDFD9" w14:textId="77777777" w:rsidR="00AF0C6C" w:rsidRPr="00AF0C6C" w:rsidRDefault="00AF0C6C" w:rsidP="00B437FB">
            <w:pPr>
              <w:cnfStyle w:val="000000100000" w:firstRow="0" w:lastRow="0" w:firstColumn="0" w:lastColumn="0" w:oddVBand="0" w:evenVBand="0" w:oddHBand="1" w:evenHBand="0" w:firstRowFirstColumn="0" w:firstRowLastColumn="0" w:lastRowFirstColumn="0" w:lastRowLastColumn="0"/>
              <w:rPr>
                <w:bCs/>
                <w:sz w:val="15"/>
              </w:rPr>
            </w:pPr>
            <w:r w:rsidRPr="00AF0C6C">
              <w:rPr>
                <w:bCs/>
                <w:sz w:val="15"/>
              </w:rPr>
              <w:t>Better execution supports baseline demand</w:t>
            </w:r>
          </w:p>
        </w:tc>
      </w:tr>
      <w:tr w:rsidR="00AF0C6C" w:rsidRPr="00AF0C6C" w14:paraId="44DA51CE" w14:textId="77777777" w:rsidTr="00AF0C6C">
        <w:trPr>
          <w:trHeight w:val="244"/>
        </w:trPr>
        <w:tc>
          <w:tcPr>
            <w:cnfStyle w:val="001000000000" w:firstRow="0" w:lastRow="0" w:firstColumn="1" w:lastColumn="0" w:oddVBand="0" w:evenVBand="0" w:oddHBand="0" w:evenHBand="0" w:firstRowFirstColumn="0" w:firstRowLastColumn="0" w:lastRowFirstColumn="0" w:lastRowLastColumn="0"/>
            <w:tcW w:w="3467" w:type="dxa"/>
          </w:tcPr>
          <w:p w14:paraId="223405F4" w14:textId="77777777" w:rsidR="00AF0C6C" w:rsidRPr="00AF0C6C" w:rsidRDefault="00AF0C6C" w:rsidP="00B437FB">
            <w:pPr>
              <w:rPr>
                <w:b w:val="0"/>
                <w:sz w:val="15"/>
              </w:rPr>
            </w:pPr>
            <w:r w:rsidRPr="00AF0C6C">
              <w:rPr>
                <w:b w:val="0"/>
                <w:sz w:val="15"/>
              </w:rPr>
              <w:t>Base media spend ($M)</w:t>
            </w:r>
          </w:p>
        </w:tc>
        <w:tc>
          <w:tcPr>
            <w:tcW w:w="3467" w:type="dxa"/>
          </w:tcPr>
          <w:p w14:paraId="40D53303" w14:textId="77777777" w:rsidR="00AF0C6C" w:rsidRPr="00AF0C6C" w:rsidRDefault="00AF0C6C" w:rsidP="00B437FB">
            <w:pPr>
              <w:cnfStyle w:val="000000000000" w:firstRow="0" w:lastRow="0" w:firstColumn="0" w:lastColumn="0" w:oddVBand="0" w:evenVBand="0" w:oddHBand="0" w:evenHBand="0" w:firstRowFirstColumn="0" w:firstRowLastColumn="0" w:lastRowFirstColumn="0" w:lastRowLastColumn="0"/>
              <w:rPr>
                <w:bCs/>
                <w:sz w:val="15"/>
              </w:rPr>
            </w:pPr>
            <w:r w:rsidRPr="00AF0C6C">
              <w:rPr>
                <w:bCs/>
                <w:sz w:val="15"/>
              </w:rPr>
              <w:t>0.01</w:t>
            </w:r>
          </w:p>
        </w:tc>
        <w:tc>
          <w:tcPr>
            <w:tcW w:w="3467" w:type="dxa"/>
          </w:tcPr>
          <w:p w14:paraId="4E12DDF8" w14:textId="77777777" w:rsidR="00AF0C6C" w:rsidRPr="00AF0C6C" w:rsidRDefault="00AF0C6C" w:rsidP="00B437FB">
            <w:pPr>
              <w:cnfStyle w:val="000000000000" w:firstRow="0" w:lastRow="0" w:firstColumn="0" w:lastColumn="0" w:oddVBand="0" w:evenVBand="0" w:oddHBand="0" w:evenHBand="0" w:firstRowFirstColumn="0" w:firstRowLastColumn="0" w:lastRowFirstColumn="0" w:lastRowLastColumn="0"/>
              <w:rPr>
                <w:bCs/>
                <w:sz w:val="15"/>
              </w:rPr>
            </w:pPr>
            <w:r w:rsidRPr="00AF0C6C">
              <w:rPr>
                <w:bCs/>
                <w:sz w:val="15"/>
              </w:rPr>
              <w:t>Always-on support protects awareness</w:t>
            </w:r>
          </w:p>
        </w:tc>
      </w:tr>
    </w:tbl>
    <w:p w14:paraId="0BD85EEF" w14:textId="77777777" w:rsidR="00AF0C6C" w:rsidRDefault="00AF0C6C"/>
    <w:p w14:paraId="2C4F8F93" w14:textId="77777777" w:rsidR="00DB646E" w:rsidRDefault="00000000">
      <w:r>
        <w:rPr>
          <w:b/>
          <w:color w:val="0B1F56"/>
          <w:sz w:val="26"/>
        </w:rPr>
        <w:t>Step 4. Build paired scoring datasets, not paired training datasets</w:t>
      </w:r>
    </w:p>
    <w:p w14:paraId="0343D7D8" w14:textId="27DFD9B4" w:rsidR="00DB646E" w:rsidRDefault="00F056B6">
      <w:r>
        <w:t>Build</w:t>
      </w:r>
      <w:r w:rsidR="00000000">
        <w:t xml:space="preserve"> the paired datasets </w:t>
      </w:r>
      <w:r>
        <w:t>for scenarios’</w:t>
      </w:r>
      <w:r w:rsidR="00000000">
        <w:t xml:space="preserve"> scoring. </w:t>
      </w:r>
      <w:r w:rsidR="00AF0C6C">
        <w:t>Using the trained model from Step3 with the</w:t>
      </w:r>
      <w:r w:rsidR="00000000">
        <w:t xml:space="preserve"> same fitted coefficients and score two versions of the same restaurant-week portfolio.</w:t>
      </w:r>
    </w:p>
    <w:p w14:paraId="0F7D2ED9" w14:textId="77777777" w:rsidR="005A0A89" w:rsidRPr="005A0A89" w:rsidRDefault="005A0A89" w:rsidP="005A0A89">
      <w:r w:rsidRPr="005A0A89">
        <w:t>The scoring datasets are used after the model is fitted to evaluate two scenarios:</w:t>
      </w:r>
    </w:p>
    <w:p w14:paraId="507AFA85" w14:textId="77777777" w:rsidR="005A0A89" w:rsidRPr="005A0A89" w:rsidRDefault="005A0A89" w:rsidP="005A0A89">
      <w:pPr>
        <w:numPr>
          <w:ilvl w:val="0"/>
          <w:numId w:val="10"/>
        </w:numPr>
      </w:pPr>
      <w:r w:rsidRPr="005A0A89">
        <w:rPr>
          <w:b/>
          <w:bCs/>
        </w:rPr>
        <w:t>Current foundation scenario</w:t>
      </w:r>
      <w:r w:rsidRPr="005A0A89">
        <w:br/>
        <w:t>What GC would we expect if foundation KPIs stay at their current / maintained levels?</w:t>
      </w:r>
    </w:p>
    <w:p w14:paraId="18E9A94B" w14:textId="77777777" w:rsidR="005A0A89" w:rsidRPr="005A0A89" w:rsidRDefault="005A0A89" w:rsidP="005A0A89">
      <w:pPr>
        <w:numPr>
          <w:ilvl w:val="0"/>
          <w:numId w:val="10"/>
        </w:numPr>
      </w:pPr>
      <w:r w:rsidRPr="005A0A89">
        <w:rPr>
          <w:b/>
          <w:bCs/>
        </w:rPr>
        <w:t>Weak foundation scenario</w:t>
      </w:r>
      <w:r w:rsidRPr="005A0A89">
        <w:br/>
        <w:t>What GC would we expect if foundation KPIs deteriorate to weak but realistic thresholds?</w:t>
      </w:r>
    </w:p>
    <w:p w14:paraId="57106814" w14:textId="77777777" w:rsidR="005A0A89" w:rsidRPr="005A0A89" w:rsidRDefault="005A0A89" w:rsidP="005A0A89">
      <w:r w:rsidRPr="005A0A89">
        <w:t xml:space="preserve">The difference between these two predictions becomes the estimated </w:t>
      </w:r>
      <w:r w:rsidRPr="005A0A89">
        <w:rPr>
          <w:b/>
          <w:bCs/>
        </w:rPr>
        <w:t>protected foundation contribution</w:t>
      </w:r>
      <w:r w:rsidRPr="005A0A89">
        <w:t>.</w:t>
      </w:r>
    </w:p>
    <w:p w14:paraId="6A7A5C84" w14:textId="77777777" w:rsidR="00DB646E" w:rsidRDefault="00000000">
      <w:r>
        <w:t>For the foundation-protection view, the recommended setup is to hold external context and growth momentum at a reference or average setting. This creates a pure protected-base estimate. If we use current external and current growth values instead, the estimate is still valid but becomes conditioned on the current quarter; it can be harder to separate foundation protection from weather, macro, LTO, promo, or media effects.</w:t>
      </w:r>
    </w:p>
    <w:p w14:paraId="7048FC95" w14:textId="77777777" w:rsidR="005A0A89" w:rsidRDefault="005A0A89" w:rsidP="005A0A89">
      <w:r>
        <w:rPr>
          <w:b/>
          <w:sz w:val="21"/>
        </w:rPr>
        <w:t>Illustrative current-foundation scoring sample</w:t>
      </w:r>
    </w:p>
    <w:tbl>
      <w:tblPr>
        <w:tblStyle w:val="LightList-Accent1"/>
        <w:tblW w:w="0" w:type="auto"/>
        <w:tblLook w:val="04A0" w:firstRow="1" w:lastRow="0" w:firstColumn="1" w:lastColumn="0" w:noHBand="0" w:noVBand="1"/>
      </w:tblPr>
      <w:tblGrid>
        <w:gridCol w:w="1260"/>
        <w:gridCol w:w="1154"/>
        <w:gridCol w:w="1154"/>
        <w:gridCol w:w="1154"/>
        <w:gridCol w:w="1154"/>
        <w:gridCol w:w="1187"/>
        <w:gridCol w:w="1154"/>
        <w:gridCol w:w="959"/>
        <w:gridCol w:w="1172"/>
      </w:tblGrid>
      <w:tr w:rsidR="005A0A89" w:rsidRPr="005A0A89" w14:paraId="0B6E4D46" w14:textId="77777777" w:rsidTr="005A0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D9E2F3"/>
          </w:tcPr>
          <w:p w14:paraId="3B0EC595" w14:textId="77777777" w:rsidR="005A0A89" w:rsidRPr="005A0A89" w:rsidRDefault="005A0A89" w:rsidP="00B437FB">
            <w:pPr>
              <w:rPr>
                <w:color w:val="auto"/>
                <w:sz w:val="18"/>
                <w:szCs w:val="18"/>
              </w:rPr>
            </w:pPr>
            <w:r w:rsidRPr="005A0A89">
              <w:rPr>
                <w:color w:val="auto"/>
                <w:sz w:val="18"/>
                <w:szCs w:val="18"/>
              </w:rPr>
              <w:t>Restaurant-week</w:t>
            </w:r>
          </w:p>
        </w:tc>
        <w:tc>
          <w:tcPr>
            <w:tcW w:w="1154" w:type="dxa"/>
            <w:shd w:val="clear" w:color="auto" w:fill="D9E2F3"/>
          </w:tcPr>
          <w:p w14:paraId="40BEBCDF" w14:textId="77777777" w:rsidR="005A0A89" w:rsidRPr="005A0A89" w:rsidRDefault="005A0A89" w:rsidP="00B437FB">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Current speed (sec)</w:t>
            </w:r>
          </w:p>
        </w:tc>
        <w:tc>
          <w:tcPr>
            <w:tcW w:w="1154" w:type="dxa"/>
            <w:shd w:val="clear" w:color="auto" w:fill="D9E2F3"/>
          </w:tcPr>
          <w:p w14:paraId="70608562" w14:textId="77777777" w:rsidR="005A0A89" w:rsidRPr="005A0A89" w:rsidRDefault="005A0A89" w:rsidP="00B437FB">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Current CSAT (1–5)</w:t>
            </w:r>
          </w:p>
        </w:tc>
        <w:tc>
          <w:tcPr>
            <w:tcW w:w="1154" w:type="dxa"/>
            <w:shd w:val="clear" w:color="auto" w:fill="D9E2F3"/>
          </w:tcPr>
          <w:p w14:paraId="41EA00A7" w14:textId="77777777" w:rsidR="005A0A89" w:rsidRPr="005A0A89" w:rsidRDefault="005A0A89" w:rsidP="00B437FB">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Current OOS (%)</w:t>
            </w:r>
          </w:p>
        </w:tc>
        <w:tc>
          <w:tcPr>
            <w:tcW w:w="1154" w:type="dxa"/>
            <w:shd w:val="clear" w:color="auto" w:fill="D9E2F3"/>
          </w:tcPr>
          <w:p w14:paraId="4927F0D7" w14:textId="77777777" w:rsidR="005A0A89" w:rsidRPr="005A0A89" w:rsidRDefault="005A0A89" w:rsidP="00B437FB">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Current uptime (%)</w:t>
            </w:r>
          </w:p>
        </w:tc>
        <w:tc>
          <w:tcPr>
            <w:tcW w:w="1187" w:type="dxa"/>
            <w:shd w:val="clear" w:color="auto" w:fill="D9E2F3"/>
          </w:tcPr>
          <w:p w14:paraId="1C4F50B5" w14:textId="77777777" w:rsidR="005A0A89" w:rsidRPr="005A0A89" w:rsidRDefault="005A0A89" w:rsidP="00B437FB">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Current pricing adoption (%)</w:t>
            </w:r>
          </w:p>
        </w:tc>
        <w:tc>
          <w:tcPr>
            <w:tcW w:w="1154" w:type="dxa"/>
            <w:shd w:val="clear" w:color="auto" w:fill="D9E2F3"/>
          </w:tcPr>
          <w:p w14:paraId="29D7F91C" w14:textId="77777777" w:rsidR="005A0A89" w:rsidRPr="005A0A89" w:rsidRDefault="005A0A89" w:rsidP="00B437FB">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Current base media spend ($M)</w:t>
            </w:r>
          </w:p>
        </w:tc>
        <w:tc>
          <w:tcPr>
            <w:tcW w:w="959" w:type="dxa"/>
            <w:shd w:val="clear" w:color="auto" w:fill="D9E2F3"/>
          </w:tcPr>
          <w:p w14:paraId="43FC42DE" w14:textId="074E7CE2" w:rsidR="005A0A89" w:rsidRPr="005A0A89" w:rsidRDefault="005A0A89" w:rsidP="00B437FB">
            <w:pPr>
              <w:cnfStyle w:val="100000000000" w:firstRow="1" w:lastRow="0" w:firstColumn="0" w:lastColumn="0" w:oddVBand="0" w:evenVBand="0" w:oddHBand="0" w:evenHBand="0" w:firstRowFirstColumn="0" w:firstRowLastColumn="0" w:lastRowFirstColumn="0" w:lastRowLastColumn="0"/>
              <w:rPr>
                <w:bCs w:val="0"/>
                <w:sz w:val="18"/>
                <w:szCs w:val="18"/>
              </w:rPr>
            </w:pPr>
            <w:r w:rsidRPr="005A0A89">
              <w:rPr>
                <w:bCs w:val="0"/>
                <w:color w:val="auto"/>
                <w:sz w:val="18"/>
                <w:szCs w:val="18"/>
              </w:rPr>
              <w:t>External context controls</w:t>
            </w:r>
          </w:p>
        </w:tc>
        <w:tc>
          <w:tcPr>
            <w:tcW w:w="1172" w:type="dxa"/>
            <w:shd w:val="clear" w:color="auto" w:fill="D9E2F3"/>
          </w:tcPr>
          <w:p w14:paraId="5D7C7A57" w14:textId="5886BC8D" w:rsidR="005A0A89" w:rsidRPr="005A0A89" w:rsidRDefault="005A0A89" w:rsidP="00B437FB">
            <w:pPr>
              <w:cnfStyle w:val="100000000000" w:firstRow="1" w:lastRow="0" w:firstColumn="0" w:lastColumn="0" w:oddVBand="0" w:evenVBand="0" w:oddHBand="0" w:evenHBand="0" w:firstRowFirstColumn="0" w:firstRowLastColumn="0" w:lastRowFirstColumn="0" w:lastRowLastColumn="0"/>
              <w:rPr>
                <w:bCs w:val="0"/>
                <w:color w:val="auto"/>
                <w:sz w:val="18"/>
                <w:szCs w:val="18"/>
              </w:rPr>
            </w:pPr>
            <w:r w:rsidRPr="005A0A89">
              <w:rPr>
                <w:bCs w:val="0"/>
                <w:color w:val="auto"/>
                <w:sz w:val="18"/>
                <w:szCs w:val="18"/>
              </w:rPr>
              <w:t>External / growth controls</w:t>
            </w:r>
          </w:p>
        </w:tc>
      </w:tr>
      <w:tr w:rsidR="005A0A89" w:rsidRPr="005A0A89" w14:paraId="01181C86" w14:textId="77777777" w:rsidTr="005A0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1973EF6" w14:textId="77777777" w:rsidR="005A0A89" w:rsidRPr="005A0A89" w:rsidRDefault="005A0A89" w:rsidP="00B437FB">
            <w:pPr>
              <w:rPr>
                <w:sz w:val="18"/>
                <w:szCs w:val="18"/>
              </w:rPr>
            </w:pPr>
            <w:r w:rsidRPr="005A0A89">
              <w:rPr>
                <w:sz w:val="18"/>
                <w:szCs w:val="18"/>
              </w:rPr>
              <w:t>Store 101 | Week 06</w:t>
            </w:r>
          </w:p>
        </w:tc>
        <w:tc>
          <w:tcPr>
            <w:tcW w:w="1154" w:type="dxa"/>
          </w:tcPr>
          <w:p w14:paraId="4257369D" w14:textId="77777777" w:rsidR="005A0A89" w:rsidRPr="005A0A89" w:rsidRDefault="005A0A89" w:rsidP="00B437FB">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121</w:t>
            </w:r>
          </w:p>
        </w:tc>
        <w:tc>
          <w:tcPr>
            <w:tcW w:w="1154" w:type="dxa"/>
          </w:tcPr>
          <w:p w14:paraId="26D6F74F" w14:textId="77777777" w:rsidR="005A0A89" w:rsidRPr="005A0A89" w:rsidRDefault="005A0A89" w:rsidP="00B437FB">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4.5</w:t>
            </w:r>
          </w:p>
        </w:tc>
        <w:tc>
          <w:tcPr>
            <w:tcW w:w="1154" w:type="dxa"/>
          </w:tcPr>
          <w:p w14:paraId="1FDA561C" w14:textId="77777777" w:rsidR="005A0A89" w:rsidRPr="005A0A89" w:rsidRDefault="005A0A89" w:rsidP="00B437FB">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1.1</w:t>
            </w:r>
          </w:p>
        </w:tc>
        <w:tc>
          <w:tcPr>
            <w:tcW w:w="1154" w:type="dxa"/>
          </w:tcPr>
          <w:p w14:paraId="162643CB" w14:textId="77777777" w:rsidR="005A0A89" w:rsidRPr="005A0A89" w:rsidRDefault="005A0A89" w:rsidP="00B437FB">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99.6</w:t>
            </w:r>
          </w:p>
        </w:tc>
        <w:tc>
          <w:tcPr>
            <w:tcW w:w="1187" w:type="dxa"/>
          </w:tcPr>
          <w:p w14:paraId="5503917F" w14:textId="77777777" w:rsidR="005A0A89" w:rsidRPr="005A0A89" w:rsidRDefault="005A0A89" w:rsidP="00B437FB">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95</w:t>
            </w:r>
          </w:p>
        </w:tc>
        <w:tc>
          <w:tcPr>
            <w:tcW w:w="1154" w:type="dxa"/>
          </w:tcPr>
          <w:p w14:paraId="04F18B4F" w14:textId="77777777" w:rsidR="005A0A89" w:rsidRPr="005A0A89" w:rsidRDefault="005A0A89" w:rsidP="00B437FB">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4</w:t>
            </w:r>
          </w:p>
        </w:tc>
        <w:tc>
          <w:tcPr>
            <w:tcW w:w="959" w:type="dxa"/>
          </w:tcPr>
          <w:p w14:paraId="2CE7FE90" w14:textId="29C09DA5" w:rsidR="005A0A89" w:rsidRPr="005A0A89" w:rsidRDefault="005A0A89" w:rsidP="00B437F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c>
          <w:tcPr>
            <w:tcW w:w="1172" w:type="dxa"/>
          </w:tcPr>
          <w:p w14:paraId="417A04D4" w14:textId="3ACE8244" w:rsidR="005A0A89" w:rsidRPr="005A0A89" w:rsidRDefault="005A0A89" w:rsidP="00B437F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r>
      <w:tr w:rsidR="005A0A89" w:rsidRPr="005A0A89" w14:paraId="3BA0F41A" w14:textId="77777777" w:rsidTr="005A0A89">
        <w:tc>
          <w:tcPr>
            <w:cnfStyle w:val="001000000000" w:firstRow="0" w:lastRow="0" w:firstColumn="1" w:lastColumn="0" w:oddVBand="0" w:evenVBand="0" w:oddHBand="0" w:evenHBand="0" w:firstRowFirstColumn="0" w:firstRowLastColumn="0" w:lastRowFirstColumn="0" w:lastRowLastColumn="0"/>
            <w:tcW w:w="1260" w:type="dxa"/>
          </w:tcPr>
          <w:p w14:paraId="150AFC8D" w14:textId="77777777" w:rsidR="005A0A89" w:rsidRPr="005A0A89" w:rsidRDefault="005A0A89" w:rsidP="005A0A89">
            <w:pPr>
              <w:rPr>
                <w:sz w:val="18"/>
                <w:szCs w:val="18"/>
              </w:rPr>
            </w:pPr>
            <w:r w:rsidRPr="005A0A89">
              <w:rPr>
                <w:sz w:val="18"/>
                <w:szCs w:val="18"/>
              </w:rPr>
              <w:t>Store 245 | Week 06</w:t>
            </w:r>
          </w:p>
        </w:tc>
        <w:tc>
          <w:tcPr>
            <w:tcW w:w="1154" w:type="dxa"/>
          </w:tcPr>
          <w:p w14:paraId="618765B8"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126</w:t>
            </w:r>
          </w:p>
        </w:tc>
        <w:tc>
          <w:tcPr>
            <w:tcW w:w="1154" w:type="dxa"/>
          </w:tcPr>
          <w:p w14:paraId="2256278A"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4.42</w:t>
            </w:r>
          </w:p>
        </w:tc>
        <w:tc>
          <w:tcPr>
            <w:tcW w:w="1154" w:type="dxa"/>
          </w:tcPr>
          <w:p w14:paraId="5E379347"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1.5</w:t>
            </w:r>
          </w:p>
        </w:tc>
        <w:tc>
          <w:tcPr>
            <w:tcW w:w="1154" w:type="dxa"/>
          </w:tcPr>
          <w:p w14:paraId="1519E2D6"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99.4</w:t>
            </w:r>
          </w:p>
        </w:tc>
        <w:tc>
          <w:tcPr>
            <w:tcW w:w="1187" w:type="dxa"/>
          </w:tcPr>
          <w:p w14:paraId="1D1FEFA1"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96</w:t>
            </w:r>
          </w:p>
        </w:tc>
        <w:tc>
          <w:tcPr>
            <w:tcW w:w="1154" w:type="dxa"/>
          </w:tcPr>
          <w:p w14:paraId="6D38BCB1"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4.1</w:t>
            </w:r>
          </w:p>
        </w:tc>
        <w:tc>
          <w:tcPr>
            <w:tcW w:w="959" w:type="dxa"/>
          </w:tcPr>
          <w:p w14:paraId="18B2A619" w14:textId="6D7D8FD3"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c>
          <w:tcPr>
            <w:tcW w:w="1172" w:type="dxa"/>
          </w:tcPr>
          <w:p w14:paraId="34ABBDE6" w14:textId="7076048D"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r>
      <w:tr w:rsidR="005A0A89" w:rsidRPr="005A0A89" w14:paraId="275C780F" w14:textId="77777777" w:rsidTr="005A0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8C1513A" w14:textId="77777777" w:rsidR="005A0A89" w:rsidRPr="005A0A89" w:rsidRDefault="005A0A89" w:rsidP="005A0A89">
            <w:pPr>
              <w:rPr>
                <w:sz w:val="18"/>
                <w:szCs w:val="18"/>
              </w:rPr>
            </w:pPr>
            <w:r w:rsidRPr="005A0A89">
              <w:rPr>
                <w:sz w:val="18"/>
                <w:szCs w:val="18"/>
              </w:rPr>
              <w:t>Store 388 | Week 06</w:t>
            </w:r>
          </w:p>
        </w:tc>
        <w:tc>
          <w:tcPr>
            <w:tcW w:w="1154" w:type="dxa"/>
          </w:tcPr>
          <w:p w14:paraId="1B55F85D"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119</w:t>
            </w:r>
          </w:p>
        </w:tc>
        <w:tc>
          <w:tcPr>
            <w:tcW w:w="1154" w:type="dxa"/>
          </w:tcPr>
          <w:p w14:paraId="4C25B68A"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4.55</w:t>
            </w:r>
          </w:p>
        </w:tc>
        <w:tc>
          <w:tcPr>
            <w:tcW w:w="1154" w:type="dxa"/>
          </w:tcPr>
          <w:p w14:paraId="5DD8B328"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0.9</w:t>
            </w:r>
          </w:p>
        </w:tc>
        <w:tc>
          <w:tcPr>
            <w:tcW w:w="1154" w:type="dxa"/>
          </w:tcPr>
          <w:p w14:paraId="5D5DFC5E"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99.7</w:t>
            </w:r>
          </w:p>
        </w:tc>
        <w:tc>
          <w:tcPr>
            <w:tcW w:w="1187" w:type="dxa"/>
          </w:tcPr>
          <w:p w14:paraId="79A77F22"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94</w:t>
            </w:r>
          </w:p>
        </w:tc>
        <w:tc>
          <w:tcPr>
            <w:tcW w:w="1154" w:type="dxa"/>
          </w:tcPr>
          <w:p w14:paraId="29C52527"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3.9</w:t>
            </w:r>
          </w:p>
        </w:tc>
        <w:tc>
          <w:tcPr>
            <w:tcW w:w="959" w:type="dxa"/>
          </w:tcPr>
          <w:p w14:paraId="07F8F02A" w14:textId="1328C616"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c>
          <w:tcPr>
            <w:tcW w:w="1172" w:type="dxa"/>
          </w:tcPr>
          <w:p w14:paraId="0B2F0EEE" w14:textId="31C885EF"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r>
    </w:tbl>
    <w:p w14:paraId="2176A8C0" w14:textId="77777777" w:rsidR="005A0A89" w:rsidRDefault="005A0A89" w:rsidP="005A0A89"/>
    <w:p w14:paraId="6034844C" w14:textId="77777777" w:rsidR="005A0A89" w:rsidRDefault="005A0A89" w:rsidP="005A0A89">
      <w:r>
        <w:rPr>
          <w:b/>
          <w:sz w:val="21"/>
        </w:rPr>
        <w:t>Illustrative weak-foundation scoring sample</w:t>
      </w:r>
    </w:p>
    <w:tbl>
      <w:tblPr>
        <w:tblStyle w:val="LightList-Accent1"/>
        <w:tblW w:w="0" w:type="auto"/>
        <w:tblLook w:val="04A0" w:firstRow="1" w:lastRow="0" w:firstColumn="1" w:lastColumn="0" w:noHBand="0" w:noVBand="1"/>
      </w:tblPr>
      <w:tblGrid>
        <w:gridCol w:w="1261"/>
        <w:gridCol w:w="1138"/>
        <w:gridCol w:w="1131"/>
        <w:gridCol w:w="1126"/>
        <w:gridCol w:w="1157"/>
        <w:gridCol w:w="1200"/>
        <w:gridCol w:w="1141"/>
        <w:gridCol w:w="1006"/>
        <w:gridCol w:w="1188"/>
      </w:tblGrid>
      <w:tr w:rsidR="005A0A89" w:rsidRPr="005A0A89" w14:paraId="75AD9D7C" w14:textId="77777777" w:rsidTr="005A0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shd w:val="clear" w:color="auto" w:fill="D9E2F3"/>
          </w:tcPr>
          <w:p w14:paraId="59C43A70" w14:textId="77777777" w:rsidR="005A0A89" w:rsidRPr="005A0A89" w:rsidRDefault="005A0A89" w:rsidP="005A0A89">
            <w:pPr>
              <w:rPr>
                <w:color w:val="auto"/>
                <w:sz w:val="18"/>
                <w:szCs w:val="18"/>
              </w:rPr>
            </w:pPr>
            <w:r w:rsidRPr="005A0A89">
              <w:rPr>
                <w:color w:val="auto"/>
                <w:sz w:val="18"/>
                <w:szCs w:val="18"/>
              </w:rPr>
              <w:t>Restaurant-week</w:t>
            </w:r>
          </w:p>
        </w:tc>
        <w:tc>
          <w:tcPr>
            <w:tcW w:w="1138" w:type="dxa"/>
            <w:shd w:val="clear" w:color="auto" w:fill="D9E2F3"/>
          </w:tcPr>
          <w:p w14:paraId="5802CAEE" w14:textId="77777777" w:rsidR="005A0A89" w:rsidRPr="005A0A89" w:rsidRDefault="005A0A89" w:rsidP="005A0A89">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Weak speed (sec)</w:t>
            </w:r>
          </w:p>
        </w:tc>
        <w:tc>
          <w:tcPr>
            <w:tcW w:w="1131" w:type="dxa"/>
            <w:shd w:val="clear" w:color="auto" w:fill="D9E2F3"/>
          </w:tcPr>
          <w:p w14:paraId="7E2FEA0B" w14:textId="77777777" w:rsidR="005A0A89" w:rsidRPr="005A0A89" w:rsidRDefault="005A0A89" w:rsidP="005A0A89">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Weak CSAT (1–5)</w:t>
            </w:r>
          </w:p>
        </w:tc>
        <w:tc>
          <w:tcPr>
            <w:tcW w:w="1126" w:type="dxa"/>
            <w:shd w:val="clear" w:color="auto" w:fill="D9E2F3"/>
          </w:tcPr>
          <w:p w14:paraId="0F32A32E" w14:textId="77777777" w:rsidR="005A0A89" w:rsidRPr="005A0A89" w:rsidRDefault="005A0A89" w:rsidP="005A0A89">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Weak OOS (%)</w:t>
            </w:r>
          </w:p>
        </w:tc>
        <w:tc>
          <w:tcPr>
            <w:tcW w:w="1157" w:type="dxa"/>
            <w:shd w:val="clear" w:color="auto" w:fill="D9E2F3"/>
          </w:tcPr>
          <w:p w14:paraId="24AAE6DE" w14:textId="77777777" w:rsidR="005A0A89" w:rsidRPr="005A0A89" w:rsidRDefault="005A0A89" w:rsidP="005A0A89">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Weak uptime (%)</w:t>
            </w:r>
          </w:p>
        </w:tc>
        <w:tc>
          <w:tcPr>
            <w:tcW w:w="1200" w:type="dxa"/>
            <w:shd w:val="clear" w:color="auto" w:fill="D9E2F3"/>
          </w:tcPr>
          <w:p w14:paraId="4B678D3E" w14:textId="77777777" w:rsidR="005A0A89" w:rsidRPr="005A0A89" w:rsidRDefault="005A0A89" w:rsidP="005A0A89">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Weak pricing adoption (%)</w:t>
            </w:r>
          </w:p>
        </w:tc>
        <w:tc>
          <w:tcPr>
            <w:tcW w:w="1141" w:type="dxa"/>
            <w:shd w:val="clear" w:color="auto" w:fill="D9E2F3"/>
          </w:tcPr>
          <w:p w14:paraId="5EA25F02" w14:textId="77777777" w:rsidR="005A0A89" w:rsidRPr="005A0A89" w:rsidRDefault="005A0A89" w:rsidP="005A0A89">
            <w:pPr>
              <w:cnfStyle w:val="100000000000" w:firstRow="1" w:lastRow="0" w:firstColumn="0" w:lastColumn="0" w:oddVBand="0" w:evenVBand="0" w:oddHBand="0" w:evenHBand="0" w:firstRowFirstColumn="0" w:firstRowLastColumn="0" w:lastRowFirstColumn="0" w:lastRowLastColumn="0"/>
              <w:rPr>
                <w:color w:val="auto"/>
                <w:sz w:val="18"/>
                <w:szCs w:val="18"/>
              </w:rPr>
            </w:pPr>
            <w:r w:rsidRPr="005A0A89">
              <w:rPr>
                <w:color w:val="auto"/>
                <w:sz w:val="18"/>
                <w:szCs w:val="18"/>
              </w:rPr>
              <w:t>Weak base media spend ($M)</w:t>
            </w:r>
          </w:p>
        </w:tc>
        <w:tc>
          <w:tcPr>
            <w:tcW w:w="1006" w:type="dxa"/>
            <w:shd w:val="clear" w:color="auto" w:fill="D9E2F3"/>
          </w:tcPr>
          <w:p w14:paraId="0414D09D" w14:textId="66DDD45C" w:rsidR="005A0A89" w:rsidRPr="005A0A89" w:rsidRDefault="005A0A89" w:rsidP="005A0A89">
            <w:pPr>
              <w:cnfStyle w:val="100000000000" w:firstRow="1" w:lastRow="0" w:firstColumn="0" w:lastColumn="0" w:oddVBand="0" w:evenVBand="0" w:oddHBand="0" w:evenHBand="0" w:firstRowFirstColumn="0" w:firstRowLastColumn="0" w:lastRowFirstColumn="0" w:lastRowLastColumn="0"/>
              <w:rPr>
                <w:bCs w:val="0"/>
                <w:sz w:val="18"/>
                <w:szCs w:val="18"/>
              </w:rPr>
            </w:pPr>
            <w:r w:rsidRPr="005A0A89">
              <w:rPr>
                <w:bCs w:val="0"/>
                <w:color w:val="auto"/>
                <w:sz w:val="18"/>
                <w:szCs w:val="18"/>
              </w:rPr>
              <w:t>External context controls</w:t>
            </w:r>
          </w:p>
        </w:tc>
        <w:tc>
          <w:tcPr>
            <w:tcW w:w="1188" w:type="dxa"/>
            <w:shd w:val="clear" w:color="auto" w:fill="D9E2F3"/>
          </w:tcPr>
          <w:p w14:paraId="1623C79D" w14:textId="0A51ED9A" w:rsidR="005A0A89" w:rsidRPr="005A0A89" w:rsidRDefault="005A0A89" w:rsidP="005A0A89">
            <w:pPr>
              <w:cnfStyle w:val="100000000000" w:firstRow="1" w:lastRow="0" w:firstColumn="0" w:lastColumn="0" w:oddVBand="0" w:evenVBand="0" w:oddHBand="0" w:evenHBand="0" w:firstRowFirstColumn="0" w:firstRowLastColumn="0" w:lastRowFirstColumn="0" w:lastRowLastColumn="0"/>
              <w:rPr>
                <w:bCs w:val="0"/>
                <w:color w:val="auto"/>
                <w:sz w:val="18"/>
                <w:szCs w:val="18"/>
              </w:rPr>
            </w:pPr>
            <w:r w:rsidRPr="005A0A89">
              <w:rPr>
                <w:bCs w:val="0"/>
                <w:color w:val="auto"/>
                <w:sz w:val="18"/>
                <w:szCs w:val="18"/>
              </w:rPr>
              <w:t>External / growth controls</w:t>
            </w:r>
          </w:p>
        </w:tc>
      </w:tr>
      <w:tr w:rsidR="005A0A89" w:rsidRPr="005A0A89" w14:paraId="167A2EA5" w14:textId="77777777" w:rsidTr="005A0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14:paraId="207F9AE1" w14:textId="77777777" w:rsidR="005A0A89" w:rsidRPr="005A0A89" w:rsidRDefault="005A0A89" w:rsidP="005A0A89">
            <w:pPr>
              <w:rPr>
                <w:sz w:val="18"/>
                <w:szCs w:val="18"/>
              </w:rPr>
            </w:pPr>
            <w:r w:rsidRPr="005A0A89">
              <w:rPr>
                <w:sz w:val="18"/>
                <w:szCs w:val="18"/>
              </w:rPr>
              <w:t>Store 101 | Week 06</w:t>
            </w:r>
          </w:p>
        </w:tc>
        <w:tc>
          <w:tcPr>
            <w:tcW w:w="1138" w:type="dxa"/>
          </w:tcPr>
          <w:p w14:paraId="5A6574E4"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175</w:t>
            </w:r>
          </w:p>
        </w:tc>
        <w:tc>
          <w:tcPr>
            <w:tcW w:w="1131" w:type="dxa"/>
          </w:tcPr>
          <w:p w14:paraId="01422FCA"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4.02</w:t>
            </w:r>
          </w:p>
        </w:tc>
        <w:tc>
          <w:tcPr>
            <w:tcW w:w="1126" w:type="dxa"/>
          </w:tcPr>
          <w:p w14:paraId="63300D81"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4.8</w:t>
            </w:r>
          </w:p>
        </w:tc>
        <w:tc>
          <w:tcPr>
            <w:tcW w:w="1157" w:type="dxa"/>
          </w:tcPr>
          <w:p w14:paraId="458305C0"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97.8</w:t>
            </w:r>
          </w:p>
        </w:tc>
        <w:tc>
          <w:tcPr>
            <w:tcW w:w="1200" w:type="dxa"/>
          </w:tcPr>
          <w:p w14:paraId="4E806DAB"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88</w:t>
            </w:r>
          </w:p>
        </w:tc>
        <w:tc>
          <w:tcPr>
            <w:tcW w:w="1141" w:type="dxa"/>
          </w:tcPr>
          <w:p w14:paraId="2FFC0793"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3.5</w:t>
            </w:r>
          </w:p>
        </w:tc>
        <w:tc>
          <w:tcPr>
            <w:tcW w:w="1006" w:type="dxa"/>
          </w:tcPr>
          <w:p w14:paraId="1C7336BE" w14:textId="48533208"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c>
          <w:tcPr>
            <w:tcW w:w="1188" w:type="dxa"/>
          </w:tcPr>
          <w:p w14:paraId="72BB4CB2" w14:textId="0B198E9A"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r>
      <w:tr w:rsidR="005A0A89" w:rsidRPr="005A0A89" w14:paraId="0E4960AF" w14:textId="77777777" w:rsidTr="005A0A89">
        <w:tc>
          <w:tcPr>
            <w:cnfStyle w:val="001000000000" w:firstRow="0" w:lastRow="0" w:firstColumn="1" w:lastColumn="0" w:oddVBand="0" w:evenVBand="0" w:oddHBand="0" w:evenHBand="0" w:firstRowFirstColumn="0" w:firstRowLastColumn="0" w:lastRowFirstColumn="0" w:lastRowLastColumn="0"/>
            <w:tcW w:w="1261" w:type="dxa"/>
          </w:tcPr>
          <w:p w14:paraId="685C2BA8" w14:textId="77777777" w:rsidR="005A0A89" w:rsidRPr="005A0A89" w:rsidRDefault="005A0A89" w:rsidP="005A0A89">
            <w:pPr>
              <w:rPr>
                <w:sz w:val="18"/>
                <w:szCs w:val="18"/>
              </w:rPr>
            </w:pPr>
            <w:r w:rsidRPr="005A0A89">
              <w:rPr>
                <w:sz w:val="18"/>
                <w:szCs w:val="18"/>
              </w:rPr>
              <w:t>Store 245 | Week 06</w:t>
            </w:r>
          </w:p>
        </w:tc>
        <w:tc>
          <w:tcPr>
            <w:tcW w:w="1138" w:type="dxa"/>
          </w:tcPr>
          <w:p w14:paraId="3303C351"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175</w:t>
            </w:r>
          </w:p>
        </w:tc>
        <w:tc>
          <w:tcPr>
            <w:tcW w:w="1131" w:type="dxa"/>
          </w:tcPr>
          <w:p w14:paraId="3268DADC"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4.02</w:t>
            </w:r>
          </w:p>
        </w:tc>
        <w:tc>
          <w:tcPr>
            <w:tcW w:w="1126" w:type="dxa"/>
          </w:tcPr>
          <w:p w14:paraId="7BA0FAFE"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4.8</w:t>
            </w:r>
          </w:p>
        </w:tc>
        <w:tc>
          <w:tcPr>
            <w:tcW w:w="1157" w:type="dxa"/>
          </w:tcPr>
          <w:p w14:paraId="69C9D0A4"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97.8</w:t>
            </w:r>
          </w:p>
        </w:tc>
        <w:tc>
          <w:tcPr>
            <w:tcW w:w="1200" w:type="dxa"/>
          </w:tcPr>
          <w:p w14:paraId="7E5612D8"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88</w:t>
            </w:r>
          </w:p>
        </w:tc>
        <w:tc>
          <w:tcPr>
            <w:tcW w:w="1141" w:type="dxa"/>
          </w:tcPr>
          <w:p w14:paraId="471DDE8E" w14:textId="77777777"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sidRPr="005A0A89">
              <w:rPr>
                <w:sz w:val="18"/>
                <w:szCs w:val="18"/>
              </w:rPr>
              <w:t>3.5</w:t>
            </w:r>
          </w:p>
        </w:tc>
        <w:tc>
          <w:tcPr>
            <w:tcW w:w="1006" w:type="dxa"/>
          </w:tcPr>
          <w:p w14:paraId="48997803" w14:textId="560E558B"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c>
          <w:tcPr>
            <w:tcW w:w="1188" w:type="dxa"/>
          </w:tcPr>
          <w:p w14:paraId="5FEFD19D" w14:textId="086219F3" w:rsidR="005A0A89" w:rsidRPr="005A0A89" w:rsidRDefault="005A0A89" w:rsidP="005A0A8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r>
      <w:tr w:rsidR="005A0A89" w:rsidRPr="005A0A89" w14:paraId="7A942694" w14:textId="77777777" w:rsidTr="005A0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14:paraId="300EDB96" w14:textId="77777777" w:rsidR="005A0A89" w:rsidRPr="005A0A89" w:rsidRDefault="005A0A89" w:rsidP="005A0A89">
            <w:pPr>
              <w:rPr>
                <w:sz w:val="18"/>
                <w:szCs w:val="18"/>
              </w:rPr>
            </w:pPr>
            <w:r w:rsidRPr="005A0A89">
              <w:rPr>
                <w:sz w:val="18"/>
                <w:szCs w:val="18"/>
              </w:rPr>
              <w:t>Store 388 | Week 06</w:t>
            </w:r>
          </w:p>
        </w:tc>
        <w:tc>
          <w:tcPr>
            <w:tcW w:w="1138" w:type="dxa"/>
          </w:tcPr>
          <w:p w14:paraId="450AE44E"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175</w:t>
            </w:r>
          </w:p>
        </w:tc>
        <w:tc>
          <w:tcPr>
            <w:tcW w:w="1131" w:type="dxa"/>
          </w:tcPr>
          <w:p w14:paraId="4DE563DE"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4.02</w:t>
            </w:r>
          </w:p>
        </w:tc>
        <w:tc>
          <w:tcPr>
            <w:tcW w:w="1126" w:type="dxa"/>
          </w:tcPr>
          <w:p w14:paraId="74352C30"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4.8</w:t>
            </w:r>
          </w:p>
        </w:tc>
        <w:tc>
          <w:tcPr>
            <w:tcW w:w="1157" w:type="dxa"/>
          </w:tcPr>
          <w:p w14:paraId="36ED26E6"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97.8</w:t>
            </w:r>
          </w:p>
        </w:tc>
        <w:tc>
          <w:tcPr>
            <w:tcW w:w="1200" w:type="dxa"/>
          </w:tcPr>
          <w:p w14:paraId="42FA09F7"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88</w:t>
            </w:r>
          </w:p>
        </w:tc>
        <w:tc>
          <w:tcPr>
            <w:tcW w:w="1141" w:type="dxa"/>
          </w:tcPr>
          <w:p w14:paraId="0D5D1C5B" w14:textId="77777777"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sidRPr="005A0A89">
              <w:rPr>
                <w:sz w:val="18"/>
                <w:szCs w:val="18"/>
              </w:rPr>
              <w:t>3.5</w:t>
            </w:r>
          </w:p>
        </w:tc>
        <w:tc>
          <w:tcPr>
            <w:tcW w:w="1006" w:type="dxa"/>
          </w:tcPr>
          <w:p w14:paraId="3E365234" w14:textId="31B1F30C"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c>
          <w:tcPr>
            <w:tcW w:w="1188" w:type="dxa"/>
          </w:tcPr>
          <w:p w14:paraId="48157772" w14:textId="4C29E638" w:rsidR="005A0A89" w:rsidRPr="005A0A89" w:rsidRDefault="005A0A89" w:rsidP="005A0A8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Avg</w:t>
            </w:r>
            <w:r w:rsidRPr="005A0A89">
              <w:rPr>
                <w:sz w:val="18"/>
                <w:szCs w:val="18"/>
              </w:rPr>
              <w:t xml:space="preserve"> / normal</w:t>
            </w:r>
          </w:p>
        </w:tc>
      </w:tr>
    </w:tbl>
    <w:p w14:paraId="601C10EA" w14:textId="77777777" w:rsidR="00DB646E" w:rsidRDefault="00DB646E"/>
    <w:p w14:paraId="2FC1CE41" w14:textId="77777777" w:rsidR="00DB646E" w:rsidRDefault="00000000">
      <w:r>
        <w:rPr>
          <w:b/>
          <w:color w:val="0B1F56"/>
          <w:sz w:val="26"/>
        </w:rPr>
        <w:t>Step 5. Score current/reference foundation vs weak foundation</w:t>
      </w:r>
    </w:p>
    <w:p w14:paraId="5F72ED61" w14:textId="77777777" w:rsidR="005A0A89" w:rsidRDefault="005A0A89" w:rsidP="005A0A89">
      <w:r>
        <w:t>Use the same fitted regression coefficients to score both datasets. The current-foundation score represents the business under actual foundation conditions. The weak-foundation score represents the same business under weakened foundation conditions. The difference is the protected GC estimate.</w:t>
      </w:r>
    </w:p>
    <w:p w14:paraId="57099195" w14:textId="77777777" w:rsidR="005A0A89" w:rsidRDefault="005A0A89" w:rsidP="005A0A89">
      <w:r>
        <w:t>This is the core formula: Protected GC = Predicted GC under current foundation – Predicted GC under weak foundation.</w:t>
      </w:r>
    </w:p>
    <w:p w14:paraId="21FF8E5B" w14:textId="653C689C" w:rsidR="00DB646E" w:rsidRDefault="005A0A89">
      <w:pPr>
        <w:jc w:val="center"/>
      </w:pPr>
      <w:r>
        <w:rPr>
          <w:noProof/>
        </w:rPr>
        <w:drawing>
          <wp:inline distT="0" distB="0" distL="0" distR="0" wp14:anchorId="598614DE" wp14:editId="07DB6D95">
            <wp:extent cx="5669280" cy="3307080"/>
            <wp:effectExtent l="0" t="0" r="0" b="0"/>
            <wp:docPr id="739957730" name="Picture 73995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scenario_scoring.png"/>
                    <pic:cNvPicPr/>
                  </pic:nvPicPr>
                  <pic:blipFill>
                    <a:blip r:embed="rId10"/>
                    <a:stretch>
                      <a:fillRect/>
                    </a:stretch>
                  </pic:blipFill>
                  <pic:spPr>
                    <a:xfrm>
                      <a:off x="0" y="0"/>
                      <a:ext cx="5669280" cy="3307080"/>
                    </a:xfrm>
                    <a:prstGeom prst="rect">
                      <a:avLst/>
                    </a:prstGeom>
                  </pic:spPr>
                </pic:pic>
              </a:graphicData>
            </a:graphic>
          </wp:inline>
        </w:drawing>
      </w:r>
    </w:p>
    <w:p w14:paraId="64050D6D" w14:textId="77777777" w:rsidR="00DB646E" w:rsidRDefault="00000000">
      <w:pPr>
        <w:jc w:val="center"/>
      </w:pPr>
      <w:r>
        <w:rPr>
          <w:i/>
          <w:color w:val="595959"/>
          <w:sz w:val="17"/>
        </w:rPr>
        <w:t>Figure 4. Synthetic scenario-scoring result. The foundation protects 24M GC versus the weak-foundation scenario.</w:t>
      </w:r>
    </w:p>
    <w:p w14:paraId="30E0FCAB" w14:textId="77777777" w:rsidR="00DB646E" w:rsidRDefault="00000000">
      <w:r>
        <w:rPr>
          <w:b/>
          <w:color w:val="0B1F56"/>
          <w:sz w:val="26"/>
        </w:rPr>
        <w:t>Step 6. Assign protected-base credit back to foundation domains</w:t>
      </w:r>
    </w:p>
    <w:p w14:paraId="4249FF71" w14:textId="609178C2" w:rsidR="00DB646E" w:rsidRDefault="00000000">
      <w:r>
        <w:t>After estimating total protected GC, allocate the result back to domains. The approach is one-feature-at-a-time scenario replacement: change one foundation feature from weak to reference/current while holding the rest constant, then measure the prediction difference. Sum or normalize the feature-level effects to create domain-level credit.</w:t>
      </w:r>
    </w:p>
    <w:p w14:paraId="2BD96B4B" w14:textId="77777777" w:rsidR="00DB646E" w:rsidRDefault="00000000">
      <w:r>
        <w:t>This attribution should be reported as protected GC or avoided loss, not as pure incremental growth. Also report confidence levels because the interim model has prediction error and may not fully capture every omitted factor.</w:t>
      </w:r>
    </w:p>
    <w:p w14:paraId="4EF5DC89" w14:textId="77777777" w:rsidR="00DB646E" w:rsidRDefault="00000000">
      <w:pPr>
        <w:jc w:val="center"/>
      </w:pPr>
      <w:r>
        <w:rPr>
          <w:noProof/>
        </w:rPr>
        <w:lastRenderedPageBreak/>
        <w:drawing>
          <wp:inline distT="0" distB="0" distL="0" distR="0" wp14:anchorId="79A2BD58" wp14:editId="7346CD08">
            <wp:extent cx="6126480" cy="31929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split.png"/>
                    <pic:cNvPicPr/>
                  </pic:nvPicPr>
                  <pic:blipFill>
                    <a:blip r:embed="rId11"/>
                    <a:stretch>
                      <a:fillRect/>
                    </a:stretch>
                  </pic:blipFill>
                  <pic:spPr>
                    <a:xfrm>
                      <a:off x="0" y="0"/>
                      <a:ext cx="6126480" cy="3192941"/>
                    </a:xfrm>
                    <a:prstGeom prst="rect">
                      <a:avLst/>
                    </a:prstGeom>
                  </pic:spPr>
                </pic:pic>
              </a:graphicData>
            </a:graphic>
          </wp:inline>
        </w:drawing>
      </w:r>
    </w:p>
    <w:p w14:paraId="491A47C4" w14:textId="77777777" w:rsidR="00DB646E" w:rsidRDefault="00000000">
      <w:pPr>
        <w:jc w:val="center"/>
      </w:pPr>
      <w:r>
        <w:rPr>
          <w:i/>
          <w:color w:val="595959"/>
          <w:sz w:val="17"/>
        </w:rPr>
        <w:t>Figure 5. Synthetic domain split of protected guest counts. Total protected GC = 24M.</w:t>
      </w:r>
    </w:p>
    <w:p w14:paraId="103FF56F" w14:textId="77777777" w:rsidR="00DB646E" w:rsidRDefault="00000000">
      <w:bookmarkStart w:id="0" w:name="OLE_LINK1"/>
      <w:r>
        <w:rPr>
          <w:b/>
          <w:color w:val="0B1F56"/>
          <w:sz w:val="26"/>
        </w:rPr>
        <w:t>Extension A. Estimate external context contribution</w:t>
      </w:r>
    </w:p>
    <w:bookmarkEnd w:id="0"/>
    <w:p w14:paraId="4D28EF1C" w14:textId="77777777" w:rsidR="00EB1A2B" w:rsidRPr="00EB1A2B" w:rsidRDefault="00EB1A2B" w:rsidP="00EB1A2B">
      <w:r w:rsidRPr="00EB1A2B">
        <w:t>External context should be estimated separately from protected foundation. These drivers include weather, macro / consumer pressure, competition, industry traffic, calendar, and other market conditions outside direct restaurant execution.</w:t>
      </w:r>
    </w:p>
    <w:p w14:paraId="3669E71B" w14:textId="77777777" w:rsidR="00EB1A2B" w:rsidRPr="00EB1A2B" w:rsidRDefault="00EB1A2B" w:rsidP="00EB1A2B">
      <w:r w:rsidRPr="00EB1A2B">
        <w:t xml:space="preserve">The recommended approach is to build a </w:t>
      </w:r>
      <w:r w:rsidRPr="00EB1A2B">
        <w:rPr>
          <w:b/>
          <w:bCs/>
        </w:rPr>
        <w:t>long-term external-context model</w:t>
      </w:r>
      <w:r w:rsidRPr="00EB1A2B">
        <w:t>, ideally using up to 10 years of history when definitions are consistent. A longer window is useful because external factors often need more historical variation to estimate reliably. For example, weather shocks, economic cycles, competitor pressure, and industry traffic shifts may not have enough variation in only two or three years of data.</w:t>
      </w:r>
    </w:p>
    <w:p w14:paraId="17D3B9CC" w14:textId="77777777" w:rsidR="00EB1A2B" w:rsidRPr="00EB1A2B" w:rsidRDefault="00EB1A2B" w:rsidP="00EB1A2B">
      <w:r w:rsidRPr="00EB1A2B">
        <w:t>The external-context model should estimate the relationship between GC and external drivers while controlling for seasonality, market / restaurant fixed effects, and available foundation or growth controls where possible.</w:t>
      </w:r>
    </w:p>
    <w:p w14:paraId="308B896C" w14:textId="77777777" w:rsidR="00EB1A2B" w:rsidRPr="00EB1A2B" w:rsidRDefault="00EB1A2B" w:rsidP="00EB1A2B">
      <w:r w:rsidRPr="00EB1A2B">
        <w:t>The contribution should be calculated by comparing:</w:t>
      </w:r>
    </w:p>
    <w:p w14:paraId="7423C48E" w14:textId="7D33B625" w:rsidR="00EB1A2B" w:rsidRPr="00EB1A2B" w:rsidRDefault="00EB1A2B" w:rsidP="00EB1A2B">
      <w:r w:rsidRPr="00EB1A2B">
        <w:rPr>
          <w:b/>
          <w:bCs/>
        </w:rPr>
        <w:t>Actual external context</w:t>
      </w:r>
      <w:r>
        <w:t xml:space="preserve"> </w:t>
      </w:r>
      <w:r w:rsidRPr="00EB1A2B">
        <w:t>versus</w:t>
      </w:r>
      <w:r>
        <w:t xml:space="preserve"> </w:t>
      </w:r>
      <w:r w:rsidRPr="00EB1A2B">
        <w:rPr>
          <w:b/>
          <w:bCs/>
        </w:rPr>
        <w:t>Normal / reference external context</w:t>
      </w:r>
    </w:p>
    <w:p w14:paraId="1B387100" w14:textId="77777777" w:rsidR="00EB1A2B" w:rsidRPr="00EB1A2B" w:rsidRDefault="00EB1A2B" w:rsidP="00EB1A2B">
      <w:r w:rsidRPr="00EB1A2B">
        <w:t>The normal context should be defined using a practical benchmark, such as same-market average, same-season historical average, prior-year baseline, or planning assumption.</w:t>
      </w:r>
    </w:p>
    <w:p w14:paraId="5F53D8C0" w14:textId="77777777" w:rsidR="00EB1A2B" w:rsidRPr="00EB1A2B" w:rsidRDefault="00EB1A2B" w:rsidP="00EB1A2B">
      <w:r w:rsidRPr="00EB1A2B">
        <w:t>Simple formula:</w:t>
      </w:r>
    </w:p>
    <w:p w14:paraId="2EAF3018" w14:textId="77777777" w:rsidR="00EB1A2B" w:rsidRDefault="00EB1A2B" w:rsidP="00EB1A2B">
      <w:pPr>
        <w:rPr>
          <w:b/>
          <w:bCs/>
        </w:rPr>
      </w:pPr>
      <w:r w:rsidRPr="00EB1A2B">
        <w:rPr>
          <w:b/>
          <w:bCs/>
        </w:rPr>
        <w:t>External contribution = Predicted GC under actual external context − Predicted GC under normal external context</w:t>
      </w:r>
    </w:p>
    <w:p w14:paraId="0B8DBE6A" w14:textId="159D3E3C" w:rsidR="00CC5D84" w:rsidRDefault="00CC5D84" w:rsidP="00EB1A2B">
      <w:r w:rsidRPr="00CC5D84">
        <w:lastRenderedPageBreak/>
        <w:drawing>
          <wp:inline distT="0" distB="0" distL="0" distR="0" wp14:anchorId="4C6949A1" wp14:editId="24202FD5">
            <wp:extent cx="5067300" cy="2129864"/>
            <wp:effectExtent l="0" t="0" r="0" b="3810"/>
            <wp:docPr id="66072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24626" name=""/>
                    <pic:cNvPicPr/>
                  </pic:nvPicPr>
                  <pic:blipFill>
                    <a:blip r:embed="rId12"/>
                    <a:stretch>
                      <a:fillRect/>
                    </a:stretch>
                  </pic:blipFill>
                  <pic:spPr>
                    <a:xfrm>
                      <a:off x="0" y="0"/>
                      <a:ext cx="5087957" cy="2138546"/>
                    </a:xfrm>
                    <a:prstGeom prst="rect">
                      <a:avLst/>
                    </a:prstGeom>
                  </pic:spPr>
                </pic:pic>
              </a:graphicData>
            </a:graphic>
          </wp:inline>
        </w:drawing>
      </w:r>
    </w:p>
    <w:p w14:paraId="0E7BA3DB" w14:textId="77777777" w:rsidR="00CC5D84" w:rsidRPr="00CC5D84" w:rsidRDefault="00CC5D84" w:rsidP="00CC5D84">
      <w:r w:rsidRPr="00CC5D84">
        <w:t xml:space="preserve">This means external context created a </w:t>
      </w:r>
      <w:r w:rsidRPr="00CC5D84">
        <w:rPr>
          <w:b/>
          <w:bCs/>
        </w:rPr>
        <w:t>-14M GC headwind versus normal conditions</w:t>
      </w:r>
      <w:r w:rsidRPr="00CC5D84">
        <w:t>.</w:t>
      </w:r>
    </w:p>
    <w:p w14:paraId="3849B165" w14:textId="77777777" w:rsidR="00CC5D84" w:rsidRPr="00CC5D84" w:rsidRDefault="00CC5D84" w:rsidP="00CC5D84">
      <w:r w:rsidRPr="00CC5D84">
        <w:t>The default should be one combined external-context model covering weather, macro, competition, industry, and calendar effects. However, separate external sub-models may be used when data grain, history, or business logic differs materially. For example, weather may use store-week or market-week data, while macro variables may use market-month data. Competition may also require a separate model if the data is only available for certain markets or time periods.</w:t>
      </w:r>
    </w:p>
    <w:p w14:paraId="7E27494D" w14:textId="77777777" w:rsidR="00CC5D84" w:rsidRPr="00CC5D84" w:rsidRDefault="00CC5D84" w:rsidP="00CC5D84">
      <w:r w:rsidRPr="00CC5D84">
        <w:t>In summary, the external-context model estimates the coefficients, but the contribution comes from the difference between actual conditions and normal/reference conditions. This prevents external pressure from being incorrectly credited to restaurant foundation, commercial BAU, or growth momentum.</w:t>
      </w:r>
    </w:p>
    <w:p w14:paraId="1360A253" w14:textId="77777777" w:rsidR="00CC5D84" w:rsidRPr="00CC5D84" w:rsidRDefault="00CC5D84" w:rsidP="00CC5D84">
      <w:pPr>
        <w:rPr>
          <w:b/>
          <w:bCs/>
        </w:rPr>
      </w:pPr>
      <w:r w:rsidRPr="00CC5D84">
        <w:rPr>
          <w:b/>
          <w:bCs/>
        </w:rPr>
        <w:t>Simple example: weather contribution</w:t>
      </w:r>
    </w:p>
    <w:p w14:paraId="7D400A10" w14:textId="77777777" w:rsidR="00CC5D84" w:rsidRPr="00CC5D84" w:rsidRDefault="00CC5D84" w:rsidP="00CC5D84">
      <w:r w:rsidRPr="00CC5D84">
        <w:t>Assume we build a long-term external-context model and estimate the impact of severe weather days on guest counts.</w:t>
      </w:r>
    </w:p>
    <w:p w14:paraId="1CCF05B2" w14:textId="77777777" w:rsidR="00CC5D84" w:rsidRPr="00CC5D84" w:rsidRDefault="00CC5D84" w:rsidP="00CC5D84">
      <w:r w:rsidRPr="00CC5D84">
        <w:rPr>
          <w:b/>
          <w:bCs/>
        </w:rPr>
        <w:t>Feature:</w:t>
      </w:r>
      <w:r w:rsidRPr="00CC5D84">
        <w:t xml:space="preserve"> Severe weather days</w:t>
      </w:r>
      <w:r w:rsidRPr="00CC5D84">
        <w:br/>
      </w:r>
      <w:r w:rsidRPr="00CC5D84">
        <w:rPr>
          <w:b/>
          <w:bCs/>
        </w:rPr>
        <w:t>Coefficient:</w:t>
      </w:r>
      <w:r w:rsidRPr="00CC5D84">
        <w:t xml:space="preserve"> -0.45M GC per additional severe weather day</w:t>
      </w:r>
      <w:r w:rsidRPr="00CC5D84">
        <w:br/>
      </w:r>
      <w:r w:rsidRPr="00CC5D84">
        <w:rPr>
          <w:b/>
          <w:bCs/>
        </w:rPr>
        <w:t>Business meaning:</w:t>
      </w:r>
      <w:r w:rsidRPr="00CC5D84">
        <w:t xml:space="preserve"> Each severe weather day above normal is associated with about </w:t>
      </w:r>
      <w:r w:rsidRPr="00CC5D84">
        <w:rPr>
          <w:b/>
          <w:bCs/>
        </w:rPr>
        <w:t>0.45M fewer guest counts</w:t>
      </w:r>
      <w:r w:rsidRPr="00CC5D84">
        <w:t>.</w:t>
      </w:r>
    </w:p>
    <w:p w14:paraId="4D1A3722" w14:textId="77777777" w:rsidR="00CC5D84" w:rsidRPr="00CC5D84" w:rsidRDefault="00CC5D84" w:rsidP="00CC5D84">
      <w:r w:rsidRPr="00CC5D84">
        <w:t>To calculate the contribution, we compare actual weather conditions against a normal/reference weather benchmark.</w:t>
      </w:r>
    </w:p>
    <w:p w14:paraId="4DDCCD0E" w14:textId="27D1CCE7" w:rsidR="00CC5D84" w:rsidRDefault="00CC5D84" w:rsidP="00EB1A2B">
      <w:r w:rsidRPr="00CC5D84">
        <w:drawing>
          <wp:inline distT="0" distB="0" distL="0" distR="0" wp14:anchorId="36AE7124" wp14:editId="1472D091">
            <wp:extent cx="5405568" cy="2305050"/>
            <wp:effectExtent l="0" t="0" r="5080" b="0"/>
            <wp:docPr id="117914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45637" name=""/>
                    <pic:cNvPicPr/>
                  </pic:nvPicPr>
                  <pic:blipFill>
                    <a:blip r:embed="rId13"/>
                    <a:stretch>
                      <a:fillRect/>
                    </a:stretch>
                  </pic:blipFill>
                  <pic:spPr>
                    <a:xfrm>
                      <a:off x="0" y="0"/>
                      <a:ext cx="5411672" cy="2307653"/>
                    </a:xfrm>
                    <a:prstGeom prst="rect">
                      <a:avLst/>
                    </a:prstGeom>
                  </pic:spPr>
                </pic:pic>
              </a:graphicData>
            </a:graphic>
          </wp:inline>
        </w:drawing>
      </w:r>
    </w:p>
    <w:p w14:paraId="156CE688" w14:textId="77777777" w:rsidR="00CC5D84" w:rsidRDefault="00CC5D84" w:rsidP="00EB1A2B"/>
    <w:p w14:paraId="32EF38F6" w14:textId="77777777" w:rsidR="00CC5D84" w:rsidRPr="00EB1A2B" w:rsidRDefault="00CC5D84" w:rsidP="00EB1A2B"/>
    <w:p w14:paraId="17014F2F" w14:textId="77777777" w:rsidR="00DB646E" w:rsidRDefault="00000000">
      <w:r>
        <w:rPr>
          <w:b/>
          <w:color w:val="0B1F56"/>
          <w:sz w:val="26"/>
        </w:rPr>
        <w:lastRenderedPageBreak/>
        <w:t>Extension B. Estimate growth momentum contribution using priors</w:t>
      </w:r>
    </w:p>
    <w:p w14:paraId="28476D48" w14:textId="77777777" w:rsidR="00DB646E" w:rsidRDefault="00000000">
      <w:r>
        <w:t>Growth momentum should rely more heavily on prior evidence because many incremental actions have existing evidence from experiments, MMM, QBRs, campaign studies, price elasticity work, LTO analyses, CRM tests, or business cases. These priors should produce an expected range, not a single forced answer.</w:t>
      </w:r>
    </w:p>
    <w:p w14:paraId="57382744" w14:textId="3CECCB4B" w:rsidR="00DB646E" w:rsidRDefault="00000000">
      <w:r>
        <w:t xml:space="preserve">The working estimate can be selected within the prior range using </w:t>
      </w:r>
      <w:r w:rsidR="00EE1E63">
        <w:t>recent</w:t>
      </w:r>
      <w:r>
        <w:t xml:space="preserve"> execution, feature movement, and available model evidence. Later, the final prior-informed MVM should reconcile these estimates with foundation protection and external context to avoid double counting.</w:t>
      </w:r>
    </w:p>
    <w:p w14:paraId="204739D1" w14:textId="77777777" w:rsidR="00DB646E" w:rsidRDefault="00000000">
      <w:r>
        <w:rPr>
          <w:b/>
          <w:sz w:val="21"/>
        </w:rPr>
        <w:t>Synthetic example: growth momentum priors and working estimates</w:t>
      </w:r>
    </w:p>
    <w:tbl>
      <w:tblPr>
        <w:tblStyle w:val="TableGrid"/>
        <w:tblW w:w="0" w:type="auto"/>
        <w:jc w:val="center"/>
        <w:tblLook w:val="04A0" w:firstRow="1" w:lastRow="0" w:firstColumn="1" w:lastColumn="0" w:noHBand="0" w:noVBand="1"/>
      </w:tblPr>
      <w:tblGrid>
        <w:gridCol w:w="2590"/>
        <w:gridCol w:w="2590"/>
        <w:gridCol w:w="2589"/>
        <w:gridCol w:w="2589"/>
      </w:tblGrid>
      <w:tr w:rsidR="00DB646E" w14:paraId="58DC604D" w14:textId="77777777">
        <w:trPr>
          <w:tblHeader/>
          <w:jc w:val="center"/>
        </w:trPr>
        <w:tc>
          <w:tcPr>
            <w:tcW w:w="2592" w:type="dxa"/>
            <w:shd w:val="clear" w:color="auto" w:fill="D9EAF7"/>
            <w:vAlign w:val="center"/>
          </w:tcPr>
          <w:p w14:paraId="6781BFCB" w14:textId="77777777" w:rsidR="00DB646E" w:rsidRDefault="00000000">
            <w:r>
              <w:rPr>
                <w:b/>
                <w:color w:val="0B1F56"/>
                <w:sz w:val="16"/>
              </w:rPr>
              <w:t>Growth driver</w:t>
            </w:r>
          </w:p>
        </w:tc>
        <w:tc>
          <w:tcPr>
            <w:tcW w:w="2592" w:type="dxa"/>
            <w:shd w:val="clear" w:color="auto" w:fill="D9EAF7"/>
            <w:vAlign w:val="center"/>
          </w:tcPr>
          <w:p w14:paraId="77A7C9C6" w14:textId="77777777" w:rsidR="00DB646E" w:rsidRDefault="00000000">
            <w:r>
              <w:rPr>
                <w:b/>
                <w:color w:val="0B1F56"/>
                <w:sz w:val="16"/>
              </w:rPr>
              <w:t>Prior source</w:t>
            </w:r>
          </w:p>
        </w:tc>
        <w:tc>
          <w:tcPr>
            <w:tcW w:w="2592" w:type="dxa"/>
            <w:shd w:val="clear" w:color="auto" w:fill="D9EAF7"/>
            <w:vAlign w:val="center"/>
          </w:tcPr>
          <w:p w14:paraId="7AF4BADF" w14:textId="77777777" w:rsidR="00DB646E" w:rsidRDefault="00000000">
            <w:r>
              <w:rPr>
                <w:b/>
                <w:color w:val="0B1F56"/>
                <w:sz w:val="16"/>
              </w:rPr>
              <w:t>Prior range</w:t>
            </w:r>
          </w:p>
        </w:tc>
        <w:tc>
          <w:tcPr>
            <w:tcW w:w="2592" w:type="dxa"/>
            <w:shd w:val="clear" w:color="auto" w:fill="D9EAF7"/>
            <w:vAlign w:val="center"/>
          </w:tcPr>
          <w:p w14:paraId="19B1E64A" w14:textId="77777777" w:rsidR="00DB646E" w:rsidRDefault="00000000">
            <w:r>
              <w:rPr>
                <w:b/>
                <w:color w:val="0B1F56"/>
                <w:sz w:val="16"/>
              </w:rPr>
              <w:t>Working estimate</w:t>
            </w:r>
          </w:p>
        </w:tc>
      </w:tr>
      <w:tr w:rsidR="00DB646E" w14:paraId="571D0642" w14:textId="77777777">
        <w:trPr>
          <w:jc w:val="center"/>
        </w:trPr>
        <w:tc>
          <w:tcPr>
            <w:tcW w:w="2592" w:type="dxa"/>
            <w:vAlign w:val="center"/>
          </w:tcPr>
          <w:p w14:paraId="19674563" w14:textId="77777777" w:rsidR="00DB646E" w:rsidRDefault="00000000">
            <w:r>
              <w:rPr>
                <w:sz w:val="16"/>
              </w:rPr>
              <w:t>Pricing</w:t>
            </w:r>
          </w:p>
        </w:tc>
        <w:tc>
          <w:tcPr>
            <w:tcW w:w="2592" w:type="dxa"/>
            <w:vAlign w:val="center"/>
          </w:tcPr>
          <w:p w14:paraId="29DDB185" w14:textId="77777777" w:rsidR="00DB646E" w:rsidRDefault="00000000">
            <w:r>
              <w:rPr>
                <w:sz w:val="16"/>
              </w:rPr>
              <w:t>Pricing elasticity study / prior MVM / QBR</w:t>
            </w:r>
          </w:p>
        </w:tc>
        <w:tc>
          <w:tcPr>
            <w:tcW w:w="2592" w:type="dxa"/>
            <w:vAlign w:val="center"/>
          </w:tcPr>
          <w:p w14:paraId="38F00AE4" w14:textId="77777777" w:rsidR="00DB646E" w:rsidRDefault="00000000">
            <w:r>
              <w:rPr>
                <w:sz w:val="16"/>
              </w:rPr>
              <w:t>+7M to +11M</w:t>
            </w:r>
          </w:p>
        </w:tc>
        <w:tc>
          <w:tcPr>
            <w:tcW w:w="2592" w:type="dxa"/>
            <w:vAlign w:val="center"/>
          </w:tcPr>
          <w:p w14:paraId="6BDEA2EB" w14:textId="77777777" w:rsidR="00DB646E" w:rsidRDefault="00000000">
            <w:r>
              <w:rPr>
                <w:sz w:val="16"/>
              </w:rPr>
              <w:t>+9M</w:t>
            </w:r>
          </w:p>
        </w:tc>
      </w:tr>
      <w:tr w:rsidR="00DB646E" w14:paraId="6CC5B738" w14:textId="77777777">
        <w:trPr>
          <w:jc w:val="center"/>
        </w:trPr>
        <w:tc>
          <w:tcPr>
            <w:tcW w:w="2592" w:type="dxa"/>
            <w:vAlign w:val="center"/>
          </w:tcPr>
          <w:p w14:paraId="0F85F99B" w14:textId="77777777" w:rsidR="00DB646E" w:rsidRDefault="00000000">
            <w:r>
              <w:rPr>
                <w:sz w:val="16"/>
              </w:rPr>
              <w:t>Promo / value</w:t>
            </w:r>
          </w:p>
        </w:tc>
        <w:tc>
          <w:tcPr>
            <w:tcW w:w="2592" w:type="dxa"/>
            <w:vAlign w:val="center"/>
          </w:tcPr>
          <w:p w14:paraId="21C56ACE" w14:textId="77777777" w:rsidR="00DB646E" w:rsidRDefault="00000000">
            <w:r>
              <w:rPr>
                <w:sz w:val="16"/>
              </w:rPr>
              <w:t>Promo lift studies / offer analytics</w:t>
            </w:r>
          </w:p>
        </w:tc>
        <w:tc>
          <w:tcPr>
            <w:tcW w:w="2592" w:type="dxa"/>
            <w:vAlign w:val="center"/>
          </w:tcPr>
          <w:p w14:paraId="2D9F1CDB" w14:textId="77777777" w:rsidR="00DB646E" w:rsidRDefault="00000000">
            <w:r>
              <w:rPr>
                <w:sz w:val="16"/>
              </w:rPr>
              <w:t>+5M to +9M</w:t>
            </w:r>
          </w:p>
        </w:tc>
        <w:tc>
          <w:tcPr>
            <w:tcW w:w="2592" w:type="dxa"/>
            <w:vAlign w:val="center"/>
          </w:tcPr>
          <w:p w14:paraId="4C22C3FE" w14:textId="77777777" w:rsidR="00DB646E" w:rsidRDefault="00000000">
            <w:r>
              <w:rPr>
                <w:sz w:val="16"/>
              </w:rPr>
              <w:t>+7M</w:t>
            </w:r>
          </w:p>
        </w:tc>
      </w:tr>
      <w:tr w:rsidR="00DB646E" w14:paraId="091B9381" w14:textId="77777777">
        <w:trPr>
          <w:jc w:val="center"/>
        </w:trPr>
        <w:tc>
          <w:tcPr>
            <w:tcW w:w="2592" w:type="dxa"/>
            <w:vAlign w:val="center"/>
          </w:tcPr>
          <w:p w14:paraId="7812D846" w14:textId="77777777" w:rsidR="00DB646E" w:rsidRDefault="00000000">
            <w:r>
              <w:rPr>
                <w:sz w:val="16"/>
              </w:rPr>
              <w:t>Media</w:t>
            </w:r>
          </w:p>
        </w:tc>
        <w:tc>
          <w:tcPr>
            <w:tcW w:w="2592" w:type="dxa"/>
            <w:vAlign w:val="center"/>
          </w:tcPr>
          <w:p w14:paraId="05FFFC3B" w14:textId="77777777" w:rsidR="00DB646E" w:rsidRDefault="00000000">
            <w:r>
              <w:rPr>
                <w:sz w:val="16"/>
              </w:rPr>
              <w:t>MMM / campaign measurement</w:t>
            </w:r>
          </w:p>
        </w:tc>
        <w:tc>
          <w:tcPr>
            <w:tcW w:w="2592" w:type="dxa"/>
            <w:vAlign w:val="center"/>
          </w:tcPr>
          <w:p w14:paraId="487C0E38" w14:textId="77777777" w:rsidR="00DB646E" w:rsidRDefault="00000000">
            <w:r>
              <w:rPr>
                <w:sz w:val="16"/>
              </w:rPr>
              <w:t>+4M to +8M</w:t>
            </w:r>
          </w:p>
        </w:tc>
        <w:tc>
          <w:tcPr>
            <w:tcW w:w="2592" w:type="dxa"/>
            <w:vAlign w:val="center"/>
          </w:tcPr>
          <w:p w14:paraId="5A3A4951" w14:textId="77777777" w:rsidR="00DB646E" w:rsidRDefault="00000000">
            <w:r>
              <w:rPr>
                <w:sz w:val="16"/>
              </w:rPr>
              <w:t>+6M</w:t>
            </w:r>
          </w:p>
        </w:tc>
      </w:tr>
      <w:tr w:rsidR="00DB646E" w14:paraId="5D0812BC" w14:textId="77777777">
        <w:trPr>
          <w:jc w:val="center"/>
        </w:trPr>
        <w:tc>
          <w:tcPr>
            <w:tcW w:w="2592" w:type="dxa"/>
            <w:vAlign w:val="center"/>
          </w:tcPr>
          <w:p w14:paraId="01F65EA2" w14:textId="77777777" w:rsidR="00DB646E" w:rsidRDefault="00000000">
            <w:r>
              <w:rPr>
                <w:sz w:val="16"/>
              </w:rPr>
              <w:t>LTO / menu</w:t>
            </w:r>
          </w:p>
        </w:tc>
        <w:tc>
          <w:tcPr>
            <w:tcW w:w="2592" w:type="dxa"/>
            <w:vAlign w:val="center"/>
          </w:tcPr>
          <w:p w14:paraId="63992B1D" w14:textId="77777777" w:rsidR="00DB646E" w:rsidRDefault="00000000">
            <w:r>
              <w:rPr>
                <w:sz w:val="16"/>
              </w:rPr>
              <w:t>Launch analysis / matched markets</w:t>
            </w:r>
          </w:p>
        </w:tc>
        <w:tc>
          <w:tcPr>
            <w:tcW w:w="2592" w:type="dxa"/>
            <w:vAlign w:val="center"/>
          </w:tcPr>
          <w:p w14:paraId="0617F592" w14:textId="77777777" w:rsidR="00DB646E" w:rsidRDefault="00000000">
            <w:r>
              <w:rPr>
                <w:sz w:val="16"/>
              </w:rPr>
              <w:t>+3M to +6M</w:t>
            </w:r>
          </w:p>
        </w:tc>
        <w:tc>
          <w:tcPr>
            <w:tcW w:w="2592" w:type="dxa"/>
            <w:vAlign w:val="center"/>
          </w:tcPr>
          <w:p w14:paraId="60349A15" w14:textId="77777777" w:rsidR="00DB646E" w:rsidRDefault="00000000">
            <w:r>
              <w:rPr>
                <w:sz w:val="16"/>
              </w:rPr>
              <w:t>+4M</w:t>
            </w:r>
          </w:p>
        </w:tc>
      </w:tr>
      <w:tr w:rsidR="00DB646E" w14:paraId="7BF6B705" w14:textId="77777777">
        <w:trPr>
          <w:jc w:val="center"/>
        </w:trPr>
        <w:tc>
          <w:tcPr>
            <w:tcW w:w="2592" w:type="dxa"/>
            <w:vAlign w:val="center"/>
          </w:tcPr>
          <w:p w14:paraId="19C3A0D9" w14:textId="77777777" w:rsidR="00DB646E" w:rsidRDefault="00000000">
            <w:r>
              <w:rPr>
                <w:sz w:val="16"/>
              </w:rPr>
              <w:t>Digital / CRM</w:t>
            </w:r>
          </w:p>
        </w:tc>
        <w:tc>
          <w:tcPr>
            <w:tcW w:w="2592" w:type="dxa"/>
            <w:vAlign w:val="center"/>
          </w:tcPr>
          <w:p w14:paraId="00FE638D" w14:textId="77777777" w:rsidR="00DB646E" w:rsidRDefault="00000000">
            <w:r>
              <w:rPr>
                <w:sz w:val="16"/>
              </w:rPr>
              <w:t>CRM tests / offer response</w:t>
            </w:r>
          </w:p>
        </w:tc>
        <w:tc>
          <w:tcPr>
            <w:tcW w:w="2592" w:type="dxa"/>
            <w:vAlign w:val="center"/>
          </w:tcPr>
          <w:p w14:paraId="3A3DCCF9" w14:textId="77777777" w:rsidR="00DB646E" w:rsidRDefault="00000000">
            <w:r>
              <w:rPr>
                <w:sz w:val="16"/>
              </w:rPr>
              <w:t>+2M to +4M</w:t>
            </w:r>
          </w:p>
        </w:tc>
        <w:tc>
          <w:tcPr>
            <w:tcW w:w="2592" w:type="dxa"/>
            <w:vAlign w:val="center"/>
          </w:tcPr>
          <w:p w14:paraId="6FED4180" w14:textId="77777777" w:rsidR="00DB646E" w:rsidRDefault="00000000">
            <w:r>
              <w:rPr>
                <w:sz w:val="16"/>
              </w:rPr>
              <w:t>+3M</w:t>
            </w:r>
          </w:p>
        </w:tc>
      </w:tr>
      <w:tr w:rsidR="00DB646E" w14:paraId="02797FC9" w14:textId="77777777">
        <w:trPr>
          <w:jc w:val="center"/>
        </w:trPr>
        <w:tc>
          <w:tcPr>
            <w:tcW w:w="2592" w:type="dxa"/>
            <w:vAlign w:val="center"/>
          </w:tcPr>
          <w:p w14:paraId="42D82DD5" w14:textId="77777777" w:rsidR="00DB646E" w:rsidRDefault="00000000">
            <w:r>
              <w:rPr>
                <w:sz w:val="16"/>
              </w:rPr>
              <w:t>Delivery</w:t>
            </w:r>
          </w:p>
        </w:tc>
        <w:tc>
          <w:tcPr>
            <w:tcW w:w="2592" w:type="dxa"/>
            <w:vAlign w:val="center"/>
          </w:tcPr>
          <w:p w14:paraId="7A631752" w14:textId="77777777" w:rsidR="00DB646E" w:rsidRDefault="00000000">
            <w:r>
              <w:rPr>
                <w:sz w:val="16"/>
              </w:rPr>
              <w:t>Channel analysis / delivery promo studies</w:t>
            </w:r>
          </w:p>
        </w:tc>
        <w:tc>
          <w:tcPr>
            <w:tcW w:w="2592" w:type="dxa"/>
            <w:vAlign w:val="center"/>
          </w:tcPr>
          <w:p w14:paraId="4682A7EA" w14:textId="77777777" w:rsidR="00DB646E" w:rsidRDefault="00000000">
            <w:r>
              <w:rPr>
                <w:sz w:val="16"/>
              </w:rPr>
              <w:t>+2M to +5M</w:t>
            </w:r>
          </w:p>
        </w:tc>
        <w:tc>
          <w:tcPr>
            <w:tcW w:w="2592" w:type="dxa"/>
            <w:vAlign w:val="center"/>
          </w:tcPr>
          <w:p w14:paraId="1D70910E" w14:textId="77777777" w:rsidR="00DB646E" w:rsidRDefault="00000000">
            <w:r>
              <w:rPr>
                <w:sz w:val="16"/>
              </w:rPr>
              <w:t>+3M</w:t>
            </w:r>
          </w:p>
        </w:tc>
      </w:tr>
    </w:tbl>
    <w:p w14:paraId="0A27F041" w14:textId="77777777" w:rsidR="00DB646E" w:rsidRDefault="00DB646E"/>
    <w:p w14:paraId="3938A3DD" w14:textId="77777777" w:rsidR="00DB646E" w:rsidRDefault="00000000">
      <w:pPr>
        <w:jc w:val="center"/>
      </w:pPr>
      <w:r>
        <w:rPr>
          <w:noProof/>
        </w:rPr>
        <w:drawing>
          <wp:inline distT="0" distB="0" distL="0" distR="0" wp14:anchorId="577C6272" wp14:editId="59D99FCE">
            <wp:extent cx="6035040" cy="31391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momentum_priors.png"/>
                    <pic:cNvPicPr/>
                  </pic:nvPicPr>
                  <pic:blipFill>
                    <a:blip r:embed="rId14"/>
                    <a:stretch>
                      <a:fillRect/>
                    </a:stretch>
                  </pic:blipFill>
                  <pic:spPr>
                    <a:xfrm>
                      <a:off x="0" y="0"/>
                      <a:ext cx="6035040" cy="3139147"/>
                    </a:xfrm>
                    <a:prstGeom prst="rect">
                      <a:avLst/>
                    </a:prstGeom>
                  </pic:spPr>
                </pic:pic>
              </a:graphicData>
            </a:graphic>
          </wp:inline>
        </w:drawing>
      </w:r>
    </w:p>
    <w:p w14:paraId="4CF3333C" w14:textId="77777777" w:rsidR="00DB646E" w:rsidRDefault="00000000">
      <w:pPr>
        <w:jc w:val="center"/>
      </w:pPr>
      <w:r>
        <w:rPr>
          <w:i/>
          <w:color w:val="595959"/>
          <w:sz w:val="17"/>
        </w:rPr>
        <w:t>Figure 7. Synthetic prior ranges and reconciled working estimates for growth momentum.</w:t>
      </w:r>
    </w:p>
    <w:p w14:paraId="29016D2C" w14:textId="77777777" w:rsidR="00DB646E" w:rsidRDefault="00000000">
      <w:r>
        <w:rPr>
          <w:b/>
          <w:color w:val="0B1F56"/>
          <w:sz w:val="26"/>
        </w:rPr>
        <w:t>Final reconciliation and reporting</w:t>
      </w:r>
    </w:p>
    <w:p w14:paraId="36C60BCC" w14:textId="77777777" w:rsidR="00DB646E" w:rsidRDefault="00000000">
      <w:r>
        <w:rPr>
          <w:b/>
          <w:sz w:val="21"/>
        </w:rPr>
        <w:t>Synthetic final contribution bridge</w:t>
      </w:r>
    </w:p>
    <w:tbl>
      <w:tblPr>
        <w:tblStyle w:val="TableGrid"/>
        <w:tblW w:w="0" w:type="auto"/>
        <w:jc w:val="center"/>
        <w:tblLook w:val="04A0" w:firstRow="1" w:lastRow="0" w:firstColumn="1" w:lastColumn="0" w:noHBand="0" w:noVBand="1"/>
      </w:tblPr>
      <w:tblGrid>
        <w:gridCol w:w="3453"/>
        <w:gridCol w:w="3452"/>
        <w:gridCol w:w="3453"/>
      </w:tblGrid>
      <w:tr w:rsidR="00DB646E" w14:paraId="6868F9C1" w14:textId="77777777">
        <w:trPr>
          <w:tblHeader/>
          <w:jc w:val="center"/>
        </w:trPr>
        <w:tc>
          <w:tcPr>
            <w:tcW w:w="3456" w:type="dxa"/>
            <w:shd w:val="clear" w:color="auto" w:fill="D9EAF7"/>
            <w:vAlign w:val="center"/>
          </w:tcPr>
          <w:p w14:paraId="66BF70A4" w14:textId="77777777" w:rsidR="00DB646E" w:rsidRDefault="00000000">
            <w:r>
              <w:rPr>
                <w:b/>
                <w:color w:val="0B1F56"/>
                <w:sz w:val="16"/>
              </w:rPr>
              <w:t>Waterfall component</w:t>
            </w:r>
          </w:p>
        </w:tc>
        <w:tc>
          <w:tcPr>
            <w:tcW w:w="3456" w:type="dxa"/>
            <w:shd w:val="clear" w:color="auto" w:fill="D9EAF7"/>
            <w:vAlign w:val="center"/>
          </w:tcPr>
          <w:p w14:paraId="5951341F" w14:textId="77777777" w:rsidR="00DB646E" w:rsidRDefault="00000000">
            <w:r>
              <w:rPr>
                <w:b/>
                <w:color w:val="0B1F56"/>
                <w:sz w:val="16"/>
              </w:rPr>
              <w:t>Synthetic GC impact</w:t>
            </w:r>
          </w:p>
        </w:tc>
        <w:tc>
          <w:tcPr>
            <w:tcW w:w="3456" w:type="dxa"/>
            <w:shd w:val="clear" w:color="auto" w:fill="D9EAF7"/>
            <w:vAlign w:val="center"/>
          </w:tcPr>
          <w:p w14:paraId="1B495C5C" w14:textId="77777777" w:rsidR="00DB646E" w:rsidRDefault="00000000">
            <w:r>
              <w:rPr>
                <w:b/>
                <w:color w:val="0B1F56"/>
                <w:sz w:val="16"/>
              </w:rPr>
              <w:t>Meaning</w:t>
            </w:r>
          </w:p>
        </w:tc>
      </w:tr>
      <w:tr w:rsidR="00DB646E" w14:paraId="06CC4693" w14:textId="77777777">
        <w:trPr>
          <w:jc w:val="center"/>
        </w:trPr>
        <w:tc>
          <w:tcPr>
            <w:tcW w:w="3456" w:type="dxa"/>
            <w:vAlign w:val="center"/>
          </w:tcPr>
          <w:p w14:paraId="1E425421" w14:textId="77777777" w:rsidR="00DB646E" w:rsidRDefault="00000000">
            <w:r>
              <w:rPr>
                <w:sz w:val="16"/>
              </w:rPr>
              <w:t>Weak foundation base</w:t>
            </w:r>
          </w:p>
        </w:tc>
        <w:tc>
          <w:tcPr>
            <w:tcW w:w="3456" w:type="dxa"/>
            <w:vAlign w:val="center"/>
          </w:tcPr>
          <w:p w14:paraId="71A248DB" w14:textId="77777777" w:rsidR="00DB646E" w:rsidRDefault="00000000">
            <w:r>
              <w:rPr>
                <w:sz w:val="16"/>
              </w:rPr>
              <w:t>310M</w:t>
            </w:r>
          </w:p>
        </w:tc>
        <w:tc>
          <w:tcPr>
            <w:tcW w:w="3456" w:type="dxa"/>
            <w:vAlign w:val="center"/>
          </w:tcPr>
          <w:p w14:paraId="79D1F5B6" w14:textId="77777777" w:rsidR="00DB646E" w:rsidRDefault="00000000">
            <w:r>
              <w:rPr>
                <w:sz w:val="16"/>
              </w:rPr>
              <w:t>Counterfactual starting point</w:t>
            </w:r>
          </w:p>
        </w:tc>
      </w:tr>
      <w:tr w:rsidR="00DB646E" w14:paraId="62106D3B" w14:textId="77777777">
        <w:trPr>
          <w:jc w:val="center"/>
        </w:trPr>
        <w:tc>
          <w:tcPr>
            <w:tcW w:w="3456" w:type="dxa"/>
            <w:vAlign w:val="center"/>
          </w:tcPr>
          <w:p w14:paraId="65BC27D4" w14:textId="77777777" w:rsidR="00DB646E" w:rsidRDefault="00000000">
            <w:r>
              <w:rPr>
                <w:sz w:val="16"/>
              </w:rPr>
              <w:t>Foundation protection</w:t>
            </w:r>
          </w:p>
        </w:tc>
        <w:tc>
          <w:tcPr>
            <w:tcW w:w="3456" w:type="dxa"/>
            <w:vAlign w:val="center"/>
          </w:tcPr>
          <w:p w14:paraId="7E50D338" w14:textId="77777777" w:rsidR="00DB646E" w:rsidRDefault="00000000">
            <w:r>
              <w:rPr>
                <w:sz w:val="16"/>
              </w:rPr>
              <w:t>+24M</w:t>
            </w:r>
          </w:p>
        </w:tc>
        <w:tc>
          <w:tcPr>
            <w:tcW w:w="3456" w:type="dxa"/>
            <w:vAlign w:val="center"/>
          </w:tcPr>
          <w:p w14:paraId="7DC3F810" w14:textId="77777777" w:rsidR="00DB646E" w:rsidRDefault="00000000">
            <w:r>
              <w:rPr>
                <w:sz w:val="16"/>
              </w:rPr>
              <w:t>Reference/current foundation vs weak foundation</w:t>
            </w:r>
          </w:p>
        </w:tc>
      </w:tr>
      <w:tr w:rsidR="00DB646E" w14:paraId="2B8EA983" w14:textId="77777777">
        <w:trPr>
          <w:jc w:val="center"/>
        </w:trPr>
        <w:tc>
          <w:tcPr>
            <w:tcW w:w="3456" w:type="dxa"/>
            <w:vAlign w:val="center"/>
          </w:tcPr>
          <w:p w14:paraId="2B3B4E2C" w14:textId="77777777" w:rsidR="00DB646E" w:rsidRDefault="00000000">
            <w:r>
              <w:rPr>
                <w:sz w:val="16"/>
              </w:rPr>
              <w:t>Protected BAU base</w:t>
            </w:r>
          </w:p>
        </w:tc>
        <w:tc>
          <w:tcPr>
            <w:tcW w:w="3456" w:type="dxa"/>
            <w:vAlign w:val="center"/>
          </w:tcPr>
          <w:p w14:paraId="1D32AA61" w14:textId="77777777" w:rsidR="00DB646E" w:rsidRDefault="00000000">
            <w:r>
              <w:rPr>
                <w:sz w:val="16"/>
              </w:rPr>
              <w:t>334M</w:t>
            </w:r>
          </w:p>
        </w:tc>
        <w:tc>
          <w:tcPr>
            <w:tcW w:w="3456" w:type="dxa"/>
            <w:vAlign w:val="center"/>
          </w:tcPr>
          <w:p w14:paraId="3BBF0E26" w14:textId="77777777" w:rsidR="00DB646E" w:rsidRDefault="00000000">
            <w:r>
              <w:rPr>
                <w:sz w:val="16"/>
              </w:rPr>
              <w:t>Base after foundation protection</w:t>
            </w:r>
          </w:p>
        </w:tc>
      </w:tr>
      <w:tr w:rsidR="00DB646E" w14:paraId="49E7FF26" w14:textId="77777777">
        <w:trPr>
          <w:jc w:val="center"/>
        </w:trPr>
        <w:tc>
          <w:tcPr>
            <w:tcW w:w="3456" w:type="dxa"/>
            <w:vAlign w:val="center"/>
          </w:tcPr>
          <w:p w14:paraId="1B09DB09" w14:textId="77777777" w:rsidR="00DB646E" w:rsidRDefault="00000000">
            <w:r>
              <w:rPr>
                <w:sz w:val="16"/>
              </w:rPr>
              <w:t>External context</w:t>
            </w:r>
          </w:p>
        </w:tc>
        <w:tc>
          <w:tcPr>
            <w:tcW w:w="3456" w:type="dxa"/>
            <w:vAlign w:val="center"/>
          </w:tcPr>
          <w:p w14:paraId="6424B6F1" w14:textId="77777777" w:rsidR="00DB646E" w:rsidRDefault="00000000">
            <w:r>
              <w:rPr>
                <w:sz w:val="16"/>
              </w:rPr>
              <w:t>-15M</w:t>
            </w:r>
          </w:p>
        </w:tc>
        <w:tc>
          <w:tcPr>
            <w:tcW w:w="3456" w:type="dxa"/>
            <w:vAlign w:val="center"/>
          </w:tcPr>
          <w:p w14:paraId="6F8B311C" w14:textId="77777777" w:rsidR="00DB646E" w:rsidRDefault="00000000">
            <w:r>
              <w:rPr>
                <w:sz w:val="16"/>
              </w:rPr>
              <w:t>Actual external context vs normal context</w:t>
            </w:r>
          </w:p>
        </w:tc>
      </w:tr>
      <w:tr w:rsidR="00DB646E" w14:paraId="5698E5F7" w14:textId="77777777">
        <w:trPr>
          <w:jc w:val="center"/>
        </w:trPr>
        <w:tc>
          <w:tcPr>
            <w:tcW w:w="3456" w:type="dxa"/>
            <w:vAlign w:val="center"/>
          </w:tcPr>
          <w:p w14:paraId="643437EF" w14:textId="77777777" w:rsidR="00DB646E" w:rsidRDefault="00000000">
            <w:r>
              <w:rPr>
                <w:sz w:val="16"/>
              </w:rPr>
              <w:t>Context-adjusted base</w:t>
            </w:r>
          </w:p>
        </w:tc>
        <w:tc>
          <w:tcPr>
            <w:tcW w:w="3456" w:type="dxa"/>
            <w:vAlign w:val="center"/>
          </w:tcPr>
          <w:p w14:paraId="4252B194" w14:textId="77777777" w:rsidR="00DB646E" w:rsidRDefault="00000000">
            <w:r>
              <w:rPr>
                <w:sz w:val="16"/>
              </w:rPr>
              <w:t>319M</w:t>
            </w:r>
          </w:p>
        </w:tc>
        <w:tc>
          <w:tcPr>
            <w:tcW w:w="3456" w:type="dxa"/>
            <w:vAlign w:val="center"/>
          </w:tcPr>
          <w:p w14:paraId="797347DD" w14:textId="77777777" w:rsidR="00DB646E" w:rsidRDefault="00000000">
            <w:r>
              <w:rPr>
                <w:sz w:val="16"/>
              </w:rPr>
              <w:t>Base after market pressure</w:t>
            </w:r>
          </w:p>
        </w:tc>
      </w:tr>
      <w:tr w:rsidR="00DB646E" w14:paraId="47B4AE68" w14:textId="77777777">
        <w:trPr>
          <w:jc w:val="center"/>
        </w:trPr>
        <w:tc>
          <w:tcPr>
            <w:tcW w:w="3456" w:type="dxa"/>
            <w:vAlign w:val="center"/>
          </w:tcPr>
          <w:p w14:paraId="42BB1829" w14:textId="77777777" w:rsidR="00DB646E" w:rsidRDefault="00000000">
            <w:r>
              <w:rPr>
                <w:sz w:val="16"/>
              </w:rPr>
              <w:t>Growth momentum</w:t>
            </w:r>
          </w:p>
        </w:tc>
        <w:tc>
          <w:tcPr>
            <w:tcW w:w="3456" w:type="dxa"/>
            <w:vAlign w:val="center"/>
          </w:tcPr>
          <w:p w14:paraId="1E9AB829" w14:textId="77777777" w:rsidR="00DB646E" w:rsidRDefault="00000000">
            <w:r>
              <w:rPr>
                <w:sz w:val="16"/>
              </w:rPr>
              <w:t>+32M</w:t>
            </w:r>
          </w:p>
        </w:tc>
        <w:tc>
          <w:tcPr>
            <w:tcW w:w="3456" w:type="dxa"/>
            <w:vAlign w:val="center"/>
          </w:tcPr>
          <w:p w14:paraId="3097B983" w14:textId="77777777" w:rsidR="00DB646E" w:rsidRDefault="00000000">
            <w:r>
              <w:rPr>
                <w:sz w:val="16"/>
              </w:rPr>
              <w:t>Prior-informed incremental actions</w:t>
            </w:r>
          </w:p>
        </w:tc>
      </w:tr>
      <w:tr w:rsidR="00DB646E" w14:paraId="3FA3A348" w14:textId="77777777">
        <w:trPr>
          <w:jc w:val="center"/>
        </w:trPr>
        <w:tc>
          <w:tcPr>
            <w:tcW w:w="3456" w:type="dxa"/>
            <w:vAlign w:val="center"/>
          </w:tcPr>
          <w:p w14:paraId="7993A11F" w14:textId="77777777" w:rsidR="00DB646E" w:rsidRDefault="00000000">
            <w:r>
              <w:rPr>
                <w:sz w:val="16"/>
              </w:rPr>
              <w:t>Residual / data gap</w:t>
            </w:r>
          </w:p>
        </w:tc>
        <w:tc>
          <w:tcPr>
            <w:tcW w:w="3456" w:type="dxa"/>
            <w:vAlign w:val="center"/>
          </w:tcPr>
          <w:p w14:paraId="2F991E32" w14:textId="77777777" w:rsidR="00DB646E" w:rsidRDefault="00000000">
            <w:r>
              <w:rPr>
                <w:sz w:val="16"/>
              </w:rPr>
              <w:t>-1M</w:t>
            </w:r>
          </w:p>
        </w:tc>
        <w:tc>
          <w:tcPr>
            <w:tcW w:w="3456" w:type="dxa"/>
            <w:vAlign w:val="center"/>
          </w:tcPr>
          <w:p w14:paraId="2028286D" w14:textId="77777777" w:rsidR="00DB646E" w:rsidRDefault="00000000">
            <w:r>
              <w:rPr>
                <w:sz w:val="16"/>
              </w:rPr>
              <w:t>Unexplained or unreconciled movement</w:t>
            </w:r>
          </w:p>
        </w:tc>
      </w:tr>
      <w:tr w:rsidR="00DB646E" w14:paraId="22C8D2E1" w14:textId="77777777">
        <w:trPr>
          <w:jc w:val="center"/>
        </w:trPr>
        <w:tc>
          <w:tcPr>
            <w:tcW w:w="3456" w:type="dxa"/>
            <w:vAlign w:val="center"/>
          </w:tcPr>
          <w:p w14:paraId="03BBD827" w14:textId="77777777" w:rsidR="00DB646E" w:rsidRDefault="00000000">
            <w:r>
              <w:rPr>
                <w:sz w:val="16"/>
              </w:rPr>
              <w:t>Actual GC</w:t>
            </w:r>
          </w:p>
        </w:tc>
        <w:tc>
          <w:tcPr>
            <w:tcW w:w="3456" w:type="dxa"/>
            <w:vAlign w:val="center"/>
          </w:tcPr>
          <w:p w14:paraId="585FFF39" w14:textId="77777777" w:rsidR="00DB646E" w:rsidRDefault="00000000">
            <w:r>
              <w:rPr>
                <w:sz w:val="16"/>
              </w:rPr>
              <w:t>350M</w:t>
            </w:r>
          </w:p>
        </w:tc>
        <w:tc>
          <w:tcPr>
            <w:tcW w:w="3456" w:type="dxa"/>
            <w:vAlign w:val="center"/>
          </w:tcPr>
          <w:p w14:paraId="75CF0A3E" w14:textId="77777777" w:rsidR="00DB646E" w:rsidRDefault="00000000">
            <w:r>
              <w:rPr>
                <w:sz w:val="16"/>
              </w:rPr>
              <w:t>Observed result</w:t>
            </w:r>
          </w:p>
        </w:tc>
      </w:tr>
    </w:tbl>
    <w:p w14:paraId="0D4EBA03" w14:textId="77777777" w:rsidR="00DB646E" w:rsidRDefault="00DB646E"/>
    <w:p w14:paraId="2042C861" w14:textId="633FCF44" w:rsidR="00DB646E" w:rsidRDefault="00000000">
      <w:r>
        <w:lastRenderedPageBreak/>
        <w:t>The foundation module estimates protected GC by comparing reference/current foundation conditions with a weak-foundation scenario. External context and growth momentum are estimated separately, then reconciled into the final contribution view. This keeps the waterfall understandable and avoids over-crediting any one domain.</w:t>
      </w:r>
    </w:p>
    <w:p w14:paraId="3D0DE90F" w14:textId="77777777" w:rsidR="00DB646E" w:rsidRDefault="00000000">
      <w:r>
        <w:t>Guardrail: If growth variables are unavailable in the interim model, do not automatically treat the model residual as foundation impact. Label it as missing growth momentum, data gap, or residual until prior analysis or the final MVM can reconcile it.</w:t>
      </w:r>
    </w:p>
    <w:sectPr w:rsidR="00DB646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FE2909"/>
    <w:multiLevelType w:val="multilevel"/>
    <w:tmpl w:val="0E94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978927">
    <w:abstractNumId w:val="8"/>
  </w:num>
  <w:num w:numId="2" w16cid:durableId="513765207">
    <w:abstractNumId w:val="6"/>
  </w:num>
  <w:num w:numId="3" w16cid:durableId="1637683582">
    <w:abstractNumId w:val="5"/>
  </w:num>
  <w:num w:numId="4" w16cid:durableId="1995716743">
    <w:abstractNumId w:val="4"/>
  </w:num>
  <w:num w:numId="5" w16cid:durableId="2024284805">
    <w:abstractNumId w:val="7"/>
  </w:num>
  <w:num w:numId="6" w16cid:durableId="1563786781">
    <w:abstractNumId w:val="3"/>
  </w:num>
  <w:num w:numId="7" w16cid:durableId="689185597">
    <w:abstractNumId w:val="2"/>
  </w:num>
  <w:num w:numId="8" w16cid:durableId="2111047722">
    <w:abstractNumId w:val="1"/>
  </w:num>
  <w:num w:numId="9" w16cid:durableId="1244559896">
    <w:abstractNumId w:val="0"/>
  </w:num>
  <w:num w:numId="10" w16cid:durableId="145707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B3C"/>
    <w:rsid w:val="0029639D"/>
    <w:rsid w:val="00326F90"/>
    <w:rsid w:val="005A0A89"/>
    <w:rsid w:val="00817C62"/>
    <w:rsid w:val="00AA1D8D"/>
    <w:rsid w:val="00AF0C6C"/>
    <w:rsid w:val="00B47730"/>
    <w:rsid w:val="00CB0664"/>
    <w:rsid w:val="00CC38B5"/>
    <w:rsid w:val="00CC5D84"/>
    <w:rsid w:val="00D64E78"/>
    <w:rsid w:val="00DB646E"/>
    <w:rsid w:val="00EB1A2B"/>
    <w:rsid w:val="00EE1E63"/>
    <w:rsid w:val="00F056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12E17"/>
  <w14:defaultImageDpi w14:val="300"/>
  <w15:docId w15:val="{E2873E1C-417F-4491-86F2-34E5498C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2060</Words>
  <Characters>11745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Cheng Qian</cp:lastModifiedBy>
  <cp:revision>8</cp:revision>
  <dcterms:created xsi:type="dcterms:W3CDTF">2026-09-01T02:25:00Z</dcterms:created>
  <dcterms:modified xsi:type="dcterms:W3CDTF">2026-09-01T03:49:00Z</dcterms:modified>
  <cp:category/>
</cp:coreProperties>
</file>