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4"/>
          <w:szCs w:val="44"/>
        </w:rPr>
        <w:t xml:space="preserve">cf-EpiTracing Bench Protocol</w:t>
      </w:r>
    </w:p>
    <w:p>
      <w:pPr>
        <w:spacing w:after="60"/>
      </w:pPr>
      <w:r>
        <w:rPr>
          <w:color w:val="404040"/>
          <w:sz w:val="24"/>
          <w:szCs w:val="24"/>
        </w:rPr>
        <w:t xml:space="preserve">Antibody–bead coupling, plasma cf-chromatin capture, tagmentation, library preparation and QC</w:t>
      </w:r>
    </w:p>
    <w:p>
      <w:pPr>
        <w:pBdr>
          <w:bottom w:val="single" w:color="1F4E79" w:sz="8" w:space="6"/>
        </w:pBdr>
        <w:spacing w:after="240"/>
      </w:pPr>
      <w:r>
        <w:rPr>
          <w:i/>
          <w:iCs/>
          <w:color w:val="595959"/>
          <w:sz w:val="18"/>
          <w:szCs w:val="18"/>
        </w:rPr>
        <w:t xml:space="preserve">Based on Chen et al., Nature 2026 (cf-EpiTracing), with clarifications from the corresponding authors and in-house troubleshooting. Version 1.0, 7 October 2026. Prepared for H. Ludewick.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300"/>
      </w:pPr>
      <w:r>
        <w:t xml:space="preserve">1. Overview</w:t>
      </w:r>
    </w:p>
    <w:p>
      <w:pPr>
        <w:spacing w:after="100"/>
      </w:pPr>
      <w:r>
        <w:t xml:space="preserve">cf-EpiTracing captures histone-marked cell-free chromatin (cf-chromatin) directly from plasma using antibodies covalently coupled to Dynabeads M-270 Epoxy. After washing, free Tn5 loaded with barcoded adapters tags all DNA on the beads; specificity therefore comes entirely from immunocapture and the pre-tagmentation washes. Libraries are amplified directly from the bead reaction and sequenced paired-end.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9"/>
        <w:gridCol w:w="2655"/>
        <w:gridCol w:w="1062"/>
      </w:tblGrid>
      <w:tr>
        <w:trPr>
          <w:tblHeader/>
        </w:trPr>
        <w:tc>
          <w:tcPr>
            <w:tcW w:type="dxa" w:w="53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65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06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preparation and bead coupling (10 µg scale)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1 + 36–48 h incubation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Post-coupling washes, storage and coupling QC gel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3 (~3 h)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Plasma preparation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day as blood draw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cf-chromatin capture (overnight)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1 → Day 2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Tagmentation, lysis, PCR, clean-up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2 (~4 h)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6–7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Library QC, pooling, sequencing, data QC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library prep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7–8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Key changes from the published methods: </w:t>
      </w:r>
      <w:r>
        <w:t xml:space="preserve">post-coupling washes use PBS + 0.1% BSA (author recommendation); H3K27ac uses Abcam ab177178 (author recommendation; ab4729 shows lot-to-lot variation); an IgG control and a coupling-supernatant QC gel are included in every batch.</w:t>
      </w:r>
    </w:p>
    <w:p>
      <w:pPr>
        <w:pStyle w:val="Heading1"/>
        <w:spacing w:after="120" w:before="300"/>
      </w:pPr>
      <w:r>
        <w:t xml:space="preserve">2. Reagents and antibodies</w:t>
      </w:r>
    </w:p>
    <w:p>
      <w:pPr>
        <w:pStyle w:val="Heading2"/>
        <w:spacing w:after="100" w:before="200"/>
      </w:pPr>
      <w:r>
        <w:t xml:space="preserve">2.1 Antibodies</w:t>
      </w:r>
    </w:p>
    <w:p>
      <w:pPr>
        <w:spacing w:after="100"/>
      </w:pPr>
      <w:r>
        <w:t xml:space="preserve">Use all antibodies as supplied: the authors did not buffer-exchange before coupling. Record the lot number and concentration of every vial.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4"/>
        <w:gridCol w:w="2407"/>
        <w:gridCol w:w="2608"/>
        <w:gridCol w:w="2707"/>
      </w:tblGrid>
      <w:tr>
        <w:trPr>
          <w:tblHeader/>
        </w:trPr>
        <w:tc>
          <w:tcPr>
            <w:tcW w:type="dxa" w:w="13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24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Antibody (cat. no.)</w:t>
            </w:r>
          </w:p>
        </w:tc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Formulation</w:t>
            </w:r>
          </w:p>
        </w:tc>
        <w:tc>
          <w:tcPr>
            <w:tcW w:type="dxa" w:w="27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Prep before coupling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H3K4me3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Diagenode C15200152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datasheet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H3K27ac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Abcam ab177178 (preferred)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Abcam ab4729 (alternative)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ab177178: 0.05% BSA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ab4729: PBS, 1% BSA, 0.02% azide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supplied. Use the carrier-free (BSA/azide-free) format of ab177178 if Abcam offers one. If using ab4729, request a different lot if performance is poor.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H3K36me3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Motif 91265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Protein A purified IgG; 140 mM HEPES pH 7.5, 70 mM NaCl, 32 mM NaOAc, 0.035% azide, 30% glycerol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 (authors confirmed efficient coupling)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control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 IgG, same host species as the primaries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Carrier-free preferred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Other marks in the paper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H3K4me1 Diagenode C15410194; H3K4me2 Diagenode C15410035; H3K9ac Active Motif 91103; H3K27me3 CST 9733S; H3K9me3 Abcam ab8898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Avoid: </w:t>
      </w:r>
      <w:r>
        <w:t xml:space="preserve">Tris, glycine or other primary-amine buffers, and high concentrations of carrier protein (e.g. 1% BSA, gelatin, whole serum). They compete with the antibody for the epoxy groups.</w:t>
      </w:r>
    </w:p>
    <w:p>
      <w:pPr>
        <w:pStyle w:val="Heading2"/>
        <w:spacing w:after="100" w:before="200"/>
      </w:pPr>
      <w:r>
        <w:t xml:space="preserve">2.2 Buffers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4513"/>
        <w:gridCol w:w="2206"/>
      </w:tblGrid>
      <w:tr>
        <w:trPr>
          <w:tblHeader/>
        </w:trPr>
        <w:tc>
          <w:tcPr>
            <w:tcW w:type="dxa" w:w="23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Buffer</w:t>
            </w:r>
          </w:p>
        </w:tc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A (coupling)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 M sodium phosphate, pH 7.4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°C, up to 1 month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B (coupling)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M ammonium sulfate in Buffer A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RT, up to 1 month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pH 7.4, no azide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+ 0.1% BSA (post-coupling wash)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+ 0.1% nuclease-free, molecular-biology-grade BSA (e.g. UltraPure BSA)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Fresh, or 0.22 µm filtered, 4 °C, ≤ 1 week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storage buffer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+ 0.05% sodium azide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Wash buffer (capture)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mM Tris-HCl pH 7.4, 150 mM NaCl, 0.5% Triton X-100, 2 mM EDTA, 10 mM sodium butyrate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°C; add butyrate fresh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Tris wash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Tris-HCl, pH 7.4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Tagmentation buffer (10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MgCl2, 10 mM TAPS-NaOH pH 8.5, 100 nM barcoded Tn5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fresh on ice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Lysis buffer (2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mM Tris-HCl pH 8.0, 60 mM EDTA, 0.25% SDS, 0.6 mg/ml Proteinase K (Qiagen)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fresh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Quench buffer (5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mM MgCl2, 0.36% Triton X-100, 4 mM PMSF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PMSF fresh</w:t>
            </w:r>
          </w:p>
        </w:tc>
      </w:tr>
    </w:tbl>
    <w:p>
      <w:pPr>
        <w:pStyle w:val="Heading2"/>
        <w:spacing w:after="100" w:before="200"/>
      </w:pPr>
      <w:r>
        <w:t xml:space="preserve">2.3 Other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Dynabeads M-270 Epoxy (Invitrogen 14301)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Magnetic rack, end-over-end rotator (Tube Revolver, 8–15 rpm) at 4 °C or room temperature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Low-binding 1.5 ml tubes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protease inhibitor (Roche), sodium butyrate, Drosophila S2 chromatin (spike-in)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KAPA HiFi DNA polymerase kit, dNTPs, i5/i7 index primers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AMPure XP beads, fresh 80% ethanol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Qubit dsDNA HS, TapeStation D1000/HS D1000, library quantification qPCR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SDS-PAGE reagents (reducing), Coomassie (sensitive) or silver stain</w:t>
      </w:r>
    </w:p>
    <w:p>
      <w:pPr>
        <w:pStyle w:val="Heading1"/>
        <w:spacing w:after="120" w:before="300"/>
      </w:pPr>
      <w:r>
        <w:t xml:space="preserve">3. Antibody–bead coupling (10 µg antibody scale)</w:t>
      </w:r>
    </w:p>
    <w:p>
      <w:pPr>
        <w:spacing w:after="100"/>
      </w:pPr>
      <w:r>
        <w:t xml:space="preserve">Scale per antibody: </w:t>
      </w:r>
      <w:r>
        <w:rPr>
          <w:b/>
          <w:bCs/>
        </w:rPr>
        <w:t xml:space="preserve">10 µg antibody on 0.5 mg beads (20 µg/mg)</w:t>
      </w:r>
      <w:r>
        <w:t xml:space="preserve">, matching the published ~1 µg antibody per 0.05 mg beads per reaction. This makes 10 reactions at 1 µg (50 µl beads each) or 5 reactions at 2 µg (100 µl each).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Do all marks together: </w:t>
      </w:r>
      <w:r>
        <w:t xml:space="preserve">couple H3K4me3, H3K27ac, H3K36me3 and IgG in one session from the same bead stock and buffers, so batches can be compared directly.</w:t>
      </w:r>
    </w:p>
    <w:p>
      <w:pPr>
        <w:pStyle w:val="Heading2"/>
        <w:spacing w:after="100" w:before="200"/>
      </w:pPr>
      <w:r>
        <w:t xml:space="preserve">3.1 Day 1: bead preparation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Equilibrate. </w:t>
      </w:r>
      <w:r>
        <w:t xml:space="preserve">Let the closed bead vial reach room temperature (~30 min) before opening, so moisture does not condense on the powder.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Weigh. </w:t>
      </w:r>
      <w:r>
        <w:t xml:space="preserve">Weigh ~2.5 mg of lyophilised beads (enough for 4 antibodies plus spare) into a low-binding tube. Record the exact mass. Close the vial promptly.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Resuspend. </w:t>
      </w:r>
      <w:r>
        <w:t xml:space="preserve">Add Buffer A to 10 mg/ml (e.g. 250 µl for 2.5 mg). Vortex 30 s, then rotate 10 min at 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Wash. </w:t>
      </w:r>
      <w:r>
        <w:t xml:space="preserve">Place on magnet 1 min; discard supernatant. Resuspend in the same volume of Buffer A (10 mg/ml) and vortex.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Aliquot. </w:t>
      </w:r>
      <w:r>
        <w:t xml:space="preserve">Vortex immediately before each draw and pipette 50 µl (0.5 mg) into one labelled tube per antibody. Place on magnet and remove buffer completely.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Timing: </w:t>
      </w:r>
      <w:r>
        <w:t xml:space="preserve">epoxy groups hydrolyse once wet. Add the antibody within ~30 min of resuspending the beads.</w:t>
      </w:r>
    </w:p>
    <w:p>
      <w:pPr>
        <w:pStyle w:val="Heading2"/>
        <w:spacing w:after="100" w:before="200"/>
      </w:pPr>
      <w:r>
        <w:t xml:space="preserve">3.2 Day 1: coupling reaction (60 µl total)</w:t>
      </w:r>
    </w:p>
    <w:p>
      <w:pPr>
        <w:spacing w:after="100"/>
      </w:pPr>
      <w:r>
        <w:t xml:space="preserve">Add components to the washed beads in this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507"/>
        <w:gridCol w:w="3510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35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(10 µg)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 µl = 10 ÷ conc. (µg/µl)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10 µl at 1 µg/µl (91265)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A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40 − X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30 µl when X = 10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B (3 M ammonium sulfate)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1 M ammonium sulfate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Beads ≈ 8 mg/ml</w:t>
            </w:r>
          </w:p>
        </w:tc>
      </w:tr>
    </w:tbl>
    <w:p>
      <w:pPr>
        <w:spacing w:after="100"/>
      </w:pPr>
      <w:r>
        <w:t xml:space="preserve">If X &gt; 40 µl (dilute antibody), keep Buffer B at one-third of the final volume: Buffer B = (X + Buffer A) ÷ 2. With 91265 (30% glycerol), 10 µl in 60 µl gives 5% glycerol, which is acceptable.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Mix. </w:t>
      </w:r>
      <w:r>
        <w:t xml:space="preserve">Flick or briefly vortex. Seal caps with Parafilm.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Incubate. </w:t>
      </w:r>
      <w:r>
        <w:t xml:space="preserve">Rotate end-over-end at 8–15 rpm for </w:t>
      </w:r>
      <w:r>
        <w:rPr>
          <w:b/>
          <w:bCs/>
        </w:rPr>
        <w:t xml:space="preserve">48 h at 4 °C</w:t>
      </w:r>
      <w:r>
        <w:t xml:space="preserve"> or </w:t>
      </w:r>
      <w:r>
        <w:rPr>
          <w:b/>
          <w:bCs/>
        </w:rPr>
        <w:t xml:space="preserve">36 h at room temperature</w:t>
      </w:r>
      <w:r>
        <w:t xml:space="preserve"> (authors’ standard conditions). Check that beads remain suspended; flick occasionally or use a 0.5 ml tube for small volumes.</w:t>
      </w:r>
    </w:p>
    <w:p>
      <w:pPr>
        <w:pStyle w:val="Heading2"/>
        <w:spacing w:after="100" w:before="200"/>
      </w:pPr>
      <w:r>
        <w:t xml:space="preserve">3.3 Day 3: post-coupling washes and storage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Collect supernatant. </w:t>
      </w:r>
      <w:r>
        <w:t xml:space="preserve">Magnet 2 min. Transfer the entire supernatant (~60 µl) to a labelled tube and keep at 4 °C for the QC gel (Section 4). Do this before any BSA contacts the beads.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Block and wash. </w:t>
      </w:r>
      <w:r>
        <w:t xml:space="preserve">Wash 4× with 0.5 ml PBS + 0.1% BSA (author recommendation; reduces non-specific background). Rotate the first wash 15–30 min at RT to block remaining epoxy sites. For each wash: resuspend → magnet 1–2 min → discard.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Resuspend for storage. </w:t>
      </w:r>
      <w:r>
        <w:t xml:space="preserve">Resuspend in 500 µl antibody storage buffer (PBS + 0.05% azide) to give 1 mg/ml beads (~1 µg antibody per 50 µl).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Store. </w:t>
      </w:r>
      <w:r>
        <w:t xml:space="preserve">4 °C. Never freeze. Label with antibody, lot, coupling date, “10 µg / 0.5 mg”, and conditions (4 °C 48 h or RT 36 h).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Do not </w:t>
      </w:r>
      <w:r>
        <w:t xml:space="preserve">add BSA to the coupling reaction itself. It competes with the antibody for epoxy groups.</w:t>
      </w:r>
    </w:p>
    <w:p>
      <w:pPr>
        <w:pStyle w:val="Heading1"/>
        <w:spacing w:after="120" w:before="300"/>
      </w:pPr>
      <w:r>
        <w:t xml:space="preserve">4. Coupling QC gel (required for every coupling)</w:t>
      </w:r>
    </w:p>
    <w:p>
      <w:pPr>
        <w:spacing w:after="100"/>
      </w:pPr>
      <w:r>
        <w:t xml:space="preserve">Reducing SDS-PAGE (10% or 4–20% gradient) with a marker covering 25–75 kDa. The 60 µl supernatant initially held 10 µg antibody, so 6 µl corresponds to 1 µg if nothing coupled.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Lane</w:t>
            </w:r>
          </w:p>
        </w:tc>
        <w:tc>
          <w:tcPr>
            <w:tcW w:type="dxa" w:w="601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Load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Marker</w:t>
            </w:r>
          </w:p>
        </w:tc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Covering 25, 50 and 75 kDa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standard</w:t>
            </w:r>
          </w:p>
        </w:tc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 µg uncoupled antibody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standard</w:t>
            </w:r>
          </w:p>
        </w:tc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µg uncoupled antibody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Coupling supernatant</w:t>
            </w:r>
          </w:p>
        </w:tc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µl supernatant + 24 µl water (dilutes 1 M ammonium sulfate, which smears lanes) + loading buffer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BSA marker (optional)</w:t>
            </w:r>
          </w:p>
        </w:tc>
        <w:tc>
          <w:tcPr>
            <w:tcW w:type="dxa" w:w="60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 µg BSA (66 kDa)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 (reducing)</w:t>
            </w:r>
          </w:p>
        </w:tc>
        <w:tc>
          <w:tcPr>
            <w:tcW w:type="dxa" w:w="401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heavy chain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~50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 be largely depleted from supernatant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light chain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 be largely depleted from supernatant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BSA (if present in formulation)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~66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Expected in ab177178/ab4729 lanes; ignore for pass/fail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Histone H3 (datasheet “17 kDa”)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~15–17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is the antibody target, not the antibody; not expected on this gel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Pass: </w:t>
      </w:r>
      <w:r>
        <w:t xml:space="preserve">supernatant IgG bands clearly weaker than the 0.5 µg standard (≥ 50% coupled; ideally ≥ 80%). Use silver stain or sensitive Coomassie (detection ≈ 50–100 ng per band). If a coupling fails, do not use those beads on samples.</w:t>
      </w:r>
    </w:p>
    <w:p>
      <w:pPr>
        <w:pStyle w:val="Heading1"/>
        <w:spacing w:after="120" w:before="300"/>
      </w:pPr>
      <w:r>
        <w:t xml:space="preserve">5. Plasma preparation (pre-analytical)</w:t>
      </w:r>
    </w:p>
    <w:p>
      <w:pPr>
        <w:spacing w:after="100"/>
      </w:pPr>
      <w:r>
        <w:t xml:space="preserve">These steps are recommendations from our troubleshooting, not from the published methods. High background in patient plasma (IgG enrichment at active promoters) pointed to contaminating cellular chromatin.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blood in EDTA tubes and process within 2 h, or use cfDNA-stabilising tubes (Streck BCT or PAXgene ccfDNA).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centrifugation: 1,600 × g, 10 min, 4 °C; transfer plasma without disturbing the buffy coat; then 16,000 × g, 10 min, 4 °C.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Aliquot and store at −80 °C. Avoid repeated freeze–thaw cycles.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draw-to-spin time, tube type, haemolysis and any cfDNA quantification for every sample.</w:t>
      </w:r>
    </w:p>
    <w:p>
      <w:pPr>
        <w:pStyle w:val="Heading1"/>
        <w:spacing w:after="120" w:before="300"/>
      </w:pPr>
      <w:r>
        <w:t xml:space="preserve">6. cf-chromatin capture, tagmentation and PCR (per Chen et al.)</w:t>
      </w:r>
    </w:p>
    <w:p>
      <w:pPr>
        <w:pStyle w:val="Heading2"/>
        <w:spacing w:after="100" w:before="200"/>
      </w:pPr>
      <w:r>
        <w:t xml:space="preserve">6.1 Capture (Day 1, overnight)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Prepare beads. </w:t>
      </w:r>
      <w:r>
        <w:t xml:space="preserve">Vortex the coupled bead stock. For each reaction take 50 µl (0.05 mg beads, ~1 µg antibody); place on magnet and remove the storage buffer.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Assemble. </w:t>
      </w:r>
      <w:r>
        <w:t xml:space="preserve">To 200 µl plasma add the beads, cOmplete protease inhibitor (1×), 10 mM sodium butyrate and S2 chromatin spike-in (amount per the paper’s supplementary methods; keep identical across wells).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Capture. </w:t>
      </w:r>
      <w:r>
        <w:t xml:space="preserve">Rotate overnight at 4 °C.</w:t>
      </w:r>
    </w:p>
    <w:p>
      <w:pPr>
        <w:pStyle w:val="Heading2"/>
        <w:spacing w:after="100" w:before="200"/>
      </w:pPr>
      <w:r>
        <w:t xml:space="preserve">6.2 Washes (Day 2)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Wash 3× </w:t>
      </w:r>
      <w:r>
        <w:t xml:space="preserve">with cold wash buffer (50 mM Tris-HCl pH 7.4, 150 mM NaCl, 0.5% Triton X-100, 2 mM EDTA, 10 mM sodium butyrate). Plasma is viscous: allow 3–5 min on the magnet for the first separation.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Wash 1× </w:t>
      </w:r>
      <w:r>
        <w:t xml:space="preserve">with 10 mM Tris-HCl pH 7.4. Remove all liquid.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Note: </w:t>
      </w:r>
      <w:r>
        <w:t xml:space="preserve">there is no wash after tagmentation. Free Tn5 tags all DNA on the beads, so stringent pre-tagmentation washing is the only specificity step after capture.</w:t>
      </w:r>
    </w:p>
    <w:p>
      <w:pPr>
        <w:pStyle w:val="Heading2"/>
        <w:spacing w:after="100" w:before="200"/>
      </w:pPr>
      <w:r>
        <w:t xml:space="preserve">6.3 Tagmentation, lysis and quench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Tagment. </w:t>
      </w:r>
      <w:r>
        <w:t xml:space="preserve">Resuspend beads in 10 µl tagmentation buffer (10 mM MgCl2, 10 mM TAPS-NaOH pH 8.5, 100 nM barcoded Tn5). Incubate 37 °C, 30 min.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Lyse. </w:t>
      </w:r>
      <w:r>
        <w:t xml:space="preserve">Add 2 µl lysis buffer. Incubate 55 °C, 15 min.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Quench. </w:t>
      </w:r>
      <w:r>
        <w:t xml:space="preserve">Add 5 µl quench buffer. Incubate 37 °C, 15 min.</w:t>
      </w:r>
    </w:p>
    <w:p>
      <w:pPr>
        <w:pStyle w:val="Heading2"/>
        <w:spacing w:after="100" w:before="200"/>
      </w:pPr>
      <w:r>
        <w:t xml:space="preserve">6.4 PCR enrichment</w:t>
      </w:r>
    </w:p>
    <w:p>
      <w:pPr>
        <w:spacing w:after="100"/>
      </w:pPr>
      <w:r>
        <w:t xml:space="preserve">To each well add: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006"/>
      </w:tblGrid>
      <w:tr>
        <w:trPr>
          <w:tblHeader/>
        </w:trPr>
        <w:tc>
          <w:tcPr>
            <w:tcW w:type="dxa" w:w="70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5× KAPA HiFi GC buffer (“High GC enhancer buffer” in the paper)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dNTP mix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 mM MgCl2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KAPA HiFi DNA polymerase (1 U/µl)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H2O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i5 index primer (10 µM)*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i7 index primer (10 µM)*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*The paper states “10 mM”; 10 µM is the standard working concentration for index primers. Confirm against the paper’s Supplementary Table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2006"/>
        <w:gridCol w:w="2005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Gap fill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denaturation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Denature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s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Anneal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65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s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Extend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extension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Hold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∞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300"/>
      </w:pPr>
      <w:r>
        <w:t xml:space="preserve">7. Library clean-up and QC</w:t>
      </w:r>
    </w:p>
    <w:p>
      <w:pPr>
        <w:pStyle w:val="Heading2"/>
        <w:spacing w:after="100" w:before="200"/>
      </w:pPr>
      <w:r>
        <w:t xml:space="preserve">7.1 Clean-up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Purify twice </w:t>
      </w:r>
      <w:r>
        <w:t xml:space="preserve">with 1.2× AMPure XP beads (per the paper). Elute in 20–25 µl 10 mM Tris pH 8.0.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Optional extra clean-up </w:t>
      </w:r>
      <w:r>
        <w:t xml:space="preserve">at 0.9–1.0× only if the ~140 bp adapter-dimer peak is &gt; 10% of area. Fragments of 140 bp and ~205 bp are close in size; tighter ratios lose library.</w:t>
      </w:r>
    </w:p>
    <w:p>
      <w:pPr>
        <w:pStyle w:val="Heading2"/>
        <w:spacing w:after="100" w:before="200"/>
      </w:pPr>
      <w:r>
        <w:t xml:space="preserve">7.2 TapeStation / Bioanalyzer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8"/>
        <w:gridCol w:w="3810"/>
      </w:tblGrid>
      <w:tr>
        <w:trPr>
          <w:tblHeader/>
        </w:trPr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8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 / action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Nucleosomal ladder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~300–320, ~500, ~700 bp (some runs peak ~205–220 bp)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Expected chromatin-derived library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Adapter dimer (no insert)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~135–150 bp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10% area: sequence as is. &gt; 10–15%: extra 0.9–1.0× AMPure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Sharp ~200 bp peak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~200 bp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Short-insert products, typical of low-input wells; sequenceable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High-molecular-weight material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 kb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Possible genomic DNA from white blood cells; review plasma handling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Yield is not specificity: </w:t>
      </w:r>
      <w:r>
        <w:t xml:space="preserve">with pg-level input and 21 PCR cycles, libraries approach plateau. IgG yields may equal or exceed mark yields. Judge libraries by sequencing metrics (Section 8), not ng/µl.</w:t>
      </w:r>
    </w:p>
    <w:p>
      <w:pPr>
        <w:pStyle w:val="Heading2"/>
        <w:spacing w:after="100" w:before="200"/>
      </w:pPr>
      <w:r>
        <w:t xml:space="preserve">7.3 Pooling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Quantify molarity over ~170–1,000 bp (excludes adapter dimer) in the TapeStation software.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by library qPCR, especially if the ScreenTape is expired.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paired-end 150 bp (DNBSEQ-T7 in the paper). For QC runs, 1–2 M read pairs per library is enough.</w:t>
      </w:r>
    </w:p>
    <w:p>
      <w:pPr>
        <w:pStyle w:val="Heading1"/>
        <w:spacing w:after="120" w:before="300"/>
      </w:pPr>
      <w:r>
        <w:t xml:space="preserve">8. Sequencing data QC</w:t>
      </w:r>
    </w:p>
    <w:p>
      <w:pPr>
        <w:spacing w:after="100"/>
      </w:pPr>
      <w:r>
        <w:t xml:space="preserve">Required outputs from the pipeline: deduplicated BAM/bigWig (hg38), unique fragments, duplication rate, and reads mapping to dm6 (S2 spike-in; requires alignment to a combined hg38 + dm6 reference).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3"/>
        <w:gridCol w:w="1536"/>
        <w:gridCol w:w="1344"/>
        <w:gridCol w:w="1536"/>
        <w:gridCol w:w="1537"/>
      </w:tblGrid>
      <w:tr>
        <w:trPr>
          <w:tblHeader/>
        </w:trPr>
        <w:tc>
          <w:tcPr>
            <w:tcW w:type="dxa" w:w="307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 (scripts: cfepi_qc.py, cfepi_k36.py)</w:t>
            </w:r>
          </w:p>
        </w:tc>
        <w:tc>
          <w:tcPr>
            <w:tcW w:type="dxa" w:w="153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H3K4me3</w:t>
            </w:r>
          </w:p>
        </w:tc>
        <w:tc>
          <w:tcPr>
            <w:tcW w:type="dxa" w:w="134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H3K27ac</w:t>
            </w:r>
          </w:p>
        </w:tc>
        <w:tc>
          <w:tcPr>
            <w:tcW w:type="dxa" w:w="153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H3K36me3</w:t>
            </w:r>
          </w:p>
        </w:tc>
        <w:tc>
          <w:tcPr>
            <w:tcW w:type="dxa" w:w="153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IgG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TSS/flank (TSS ±500 bp vs 4–5 kb flanks)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10 (HC1 benchmark 18.7)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5 (HC1: 5.2)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~1–2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 (or &lt; 1)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Gene-body active/silent (genes ≥ 10 kb)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~1–1.5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2 (HC1 Aug: 1.16 = fail)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TSS active/silent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3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 (&gt; 1.3 suggests cellular-chromatin background)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S2 (dm6) read fraction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 across samples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IgG with TSS enrichment above 1 indicates non-specific tagmentation of accessible cellular chromatin (ATAC-like background).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 S2 capture with low human enrichment points to the sample (background or antibody saturation). Low S2 capture points to a failed well or failed beads.</w:t>
      </w:r>
    </w:p>
    <w:p>
      <w:pPr>
        <w:pStyle w:val="Heading1"/>
        <w:spacing w:after="120" w:before="300"/>
      </w:pPr>
      <w:r>
        <w:t xml:space="preserve">9.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0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 ≈ IgG on TSS/flank or gene-body metrics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Poor coupling; antibody lot; too little antibody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supernatant gel; recouple fresh; try 2 µg/reaction; new lot or alternative antibody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H3K36me3 gene-body active/silent &lt; 1.5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Coupling or lot (formulation is compatible)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Gel QC; recouple with authors’ conditions; titrate 1 vs 2 µg; new lot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H3K27ac weak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ab4729 lot variation; 1% BSA reduces coupling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Switch to ab177178 (author recommendation)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enriched at active TSSs (patient plasma)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Cellular chromatin / WBC lysis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Double spin; faster processing; stabilising tubes; compare 100 vs 200 µl plasma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 ~140 bp peak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template; Tn5 adapter dimers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 0.9–1.0× AMPure if &gt; 10–15% area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Library peaks &gt; 1 kb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Genomic DNA contamination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plasma handling; second high-speed spin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 samples flat or ≈ IgG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Matrix not validated; cells or debris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Separate optimisation: cell removal, input volume, cfDNA QC</w:t>
            </w:r>
          </w:p>
        </w:tc>
      </w:tr>
    </w:tbl>
    <w:p>
      <w:pPr>
        <w:pStyle w:val="Heading1"/>
        <w:spacing w:after="120" w:before="300"/>
      </w:pPr>
      <w:r>
        <w:t xml:space="preserve">10. Notes from author correspondence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Motif 91103 and 91265 were coupled directly from their supplied storage buffers, without buffer exchange; the post-coupling supernatant gel showed minimal remaining antibody.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Coupling conditions were not adjusted per antibody: 48 h at 4 °C or 36 h at RT, with antibody-to-bead ratios per the manufacturer.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Abcam ab4729 generally works but shows occasional lot-to-lot variation; ab177178 has performed better and more consistently in their recent experiments.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Washing coupled beads with PBS + 0.1% BSA rather than PBS alone helps reduce non-specific background.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questions: whether storage buffer also contains BSA; exact µg antibody per mg beads; typical QC thresholds for healthy plasma.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cf-EpiTracing Bench Protocol v1.0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60"/>
      </w:pPr>
    </w:lvl>
    <w:lvl w:ilvl="1" w15:tentative="1">
      <w:start w:val="1"/>
      <w:numFmt w:val="lowerLetter"/>
      <w:lvlText w:val="%2."/>
      <w:lvlJc w:val="left"/>
      <w:pPr>
        <w:ind w:left="8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cf-EpiTracing Bench Protocol</dc:title>
  <dc:creator>H. Ludewick</dc:creator>
  <cp:lastModifiedBy>Un-named</cp:lastModifiedBy>
  <cp:revision>1</cp:revision>
  <dcterms:created xsi:type="dcterms:W3CDTF">2026-10-07T10:56:51.797Z</dcterms:created>
  <dcterms:modified xsi:type="dcterms:W3CDTF">2026-10-07T10:56:51.798Z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