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cf-EpiTracing Bench Protocol</w:t>
      </w:r>
    </w:p>
    <w:p>
      <w:pPr>
        <w:spacing w:after="60"/>
      </w:pPr>
      <w:r>
        <w:rPr>
          <w:color w:val="404040"/>
          <w:sz w:val="24"/>
          <w:szCs w:val="24"/>
        </w:rPr>
        <w:t xml:space="preserve">Antibody–bead coupling, plasma cf-chromatin capture, tagmentation, library preparation and QC</w:t>
      </w:r>
    </w:p>
    <w:p>
      <w:pPr>
        <w:pBdr>
          <w:bottom w:val="single" w:color="1F4E79" w:sz="8" w:space="6"/>
        </w:pBdr>
        <w:spacing w:after="240"/>
      </w:pPr>
      <w:r>
        <w:rPr>
          <w:i/>
          <w:iCs/>
          <w:color w:val="595959"/>
          <w:sz w:val="18"/>
          <w:szCs w:val="18"/>
        </w:rPr>
        <w:t xml:space="preserve">Based on Chen et al., Nature 2026 (cf-EpiTracing), with clarifications from the corresponding authors and in-house troubleshooting. Version 1.1, 14 October 2026. Prepared for H. Ludewick.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300"/>
      </w:pPr>
      <w:r>
        <w:t xml:space="preserve">1. Overview</w:t>
      </w:r>
    </w:p>
    <w:p>
      <w:pPr>
        <w:spacing w:after="100"/>
      </w:pPr>
      <w:r>
        <w:t xml:space="preserve">cf-EpiTracing captures histone-marked cell-free chromatin (cf-chromatin) directly from plasma using antibodies covalently coupled to Dynabeads M-270 Epoxy. After washing, free Tn5 loaded with barcoded adapters tags all DNA on the beads; specificity therefore comes entirely from immunocapture and the pre-tagmentation washes. Libraries are amplified directly from the bead reaction and sequenced paired-end.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9"/>
        <w:gridCol w:w="2655"/>
        <w:gridCol w:w="1062"/>
      </w:tblGrid>
      <w:tr>
        <w:trPr>
          <w:tblHeader/>
        </w:trPr>
        <w:tc>
          <w:tcPr>
            <w:tcW w:type="dxa" w:w="53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06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preparation and bead coupling (10 µg scale)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 + 36–48 h incubation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Post-coupling washes, storage and coupling QC gel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3 (~3 h)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Plasma preparation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day as blood draw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cf-chromatin capture (overnight)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 → Day 2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Tagmentation, lysis, PCR, clean-up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2 (~4 h)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6–7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Library QC, pooling, sequencing, data QC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library prep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Key changes from the published methods: </w:t>
      </w:r>
      <w:r>
        <w:t xml:space="preserve">post-coupling washes use PBS + 0.1% BSA (author recommendation); H3K27ac uses Abcam ab177178 (author recommendation; ab4729 shows lot-to-lot variation); an IgG control and a coupling-supernatant QC gel are included in every batch; S2 spike-in is dosed at 1 ng per 200 µl plasma (author protocol).</w:t>
      </w:r>
    </w:p>
    <w:p>
      <w:pPr>
        <w:pStyle w:val="Heading1"/>
        <w:spacing w:after="120" w:before="300"/>
      </w:pPr>
      <w:r>
        <w:t xml:space="preserve">2. Reagents and antibodies</w:t>
      </w:r>
    </w:p>
    <w:p>
      <w:pPr>
        <w:pStyle w:val="Heading2"/>
        <w:spacing w:after="100" w:before="200"/>
      </w:pPr>
      <w:r>
        <w:t xml:space="preserve">2.1 Antibodies</w:t>
      </w:r>
    </w:p>
    <w:p>
      <w:pPr>
        <w:spacing w:after="100"/>
      </w:pPr>
      <w:r>
        <w:t xml:space="preserve">Use all antibodies as supplied: the authors did not buffer-exchange before coupling. Record the lot number and concentration of every vial.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2407"/>
        <w:gridCol w:w="2608"/>
        <w:gridCol w:w="2707"/>
      </w:tblGrid>
      <w:tr>
        <w:trPr>
          <w:tblHeader/>
        </w:trPr>
        <w:tc>
          <w:tcPr>
            <w:tcW w:type="dxa" w:w="13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24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Antibody (cat. no.)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Formulation</w:t>
            </w:r>
          </w:p>
        </w:tc>
        <w:tc>
          <w:tcPr>
            <w:tcW w:type="dxa" w:w="27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 before coupling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H3K4me3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Diagenode C15200152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datasheet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H3K27ac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Abcam ab177178 (preferred)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Abcam ab4729 (alternative)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ab177178: 0.05% BSA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ab4729: PBS, 1% BSA, 0.02% azide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supplied. Use the carrier-free (BSA/azide-free) format of ab177178 if Abcam offers one. If using ab4729, request a different lot if performance is poor.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H3K36me3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Motif 91265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Protein A purified IgG; 140 mM HEPES pH 7.5, 70 mM NaCl, 32 mM NaOAc, 0.035% azide, 30% glycerol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 (authors confirmed efficient coupling)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control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 IgG, same host species as the primaries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Carrier-free preferred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marks in the paper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H3K4me1 Diagenode C15410194; H3K4me2 Diagenode C15410035; H3K9ac Active Motif 91103; H3K27me3 CST 9733S; H3K9me3 Abcam ab8898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Avoid: </w:t>
      </w:r>
      <w:r>
        <w:t xml:space="preserve">Tris, glycine or other primary-amine buffers, and high concentrations of carrier protein (e.g. 1% BSA, gelatin, whole serum). They compete with the antibody for the epoxy groups.</w:t>
      </w:r>
    </w:p>
    <w:p>
      <w:pPr>
        <w:pStyle w:val="Heading2"/>
        <w:spacing w:after="100" w:before="200"/>
      </w:pPr>
      <w:r>
        <w:t xml:space="preserve">2.2 Buffers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4513"/>
        <w:gridCol w:w="2206"/>
      </w:tblGrid>
      <w:tr>
        <w:trPr>
          <w:tblHeader/>
        </w:trPr>
        <w:tc>
          <w:tcPr>
            <w:tcW w:type="dxa" w:w="23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Buffer</w:t>
            </w:r>
          </w:p>
        </w:tc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A (coupling)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 M sodium phosphate, pH 7.4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°C, up to 1 month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B (coupling)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 ammonium sulfate in Buffer A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RT, up to 1 month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pH 7.4, no azide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+ 0.1% BSA (post-coupling wash)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+ 0.1% nuclease-free, molecular-biology-grade BSA (e.g. UltraPure BSA)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Fresh, or 0.22 µm filtered, 4 °C, ≤ 1 week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storage buffer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+ 0.05% sodium azide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Wash buffer (capture)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mM Tris-HCl pH 7.4, 150 mM NaCl, 0.5% Triton X-100, 2 mM EDTA, 10 mM sodium butyrate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°C; add butyrate fresh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Tris wash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Tris-HCl, pH 7.4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Tagmentation buffer (10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MgCl2, 10 mM TAPS-NaOH pH 8.5, 100 nM barcoded Tn5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fresh on ice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Lysis buffer (2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mM Tris-HCl pH 8.0, 60 mM EDTA, 0.25% SDS, 0.6 mg/ml Proteinase K (Qiagen)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fresh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Quench buffer (5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mM MgCl2, 0.36% Triton X-100, 4 mM PMSF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PMSF fresh</w:t>
            </w:r>
          </w:p>
        </w:tc>
      </w:tr>
    </w:tbl>
    <w:p>
      <w:pPr>
        <w:pStyle w:val="Heading2"/>
        <w:spacing w:after="100" w:before="200"/>
      </w:pPr>
      <w:r>
        <w:t xml:space="preserve">2.3 Other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Dynabeads M-270 Epoxy (Invitrogen 14301)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Magnetic rack, end-over-end rotator (Tube Revolver, 8–15 rpm) at 4 °C or room temperature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Low-binding 1.5 ml tubes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protease inhibitor (Roche), sodium butyrate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Drosophila S2 spike-in chromatin (Active Motif; supplied at 4 ng/µl DNA)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 HiFi DNA polymerase kit, dNTPs, i5/i7 index primers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AMPure XP beads, fresh 80% ethanol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Qubit dsDNA HS, TapeStation D1000/HS D1000, library quantification qPCR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Bio-Rad Mini-PROTEAN TGX 4–20% gels, Tris/glycine/SDS running buffer, 3× SDS loading buffer, 1 M DTT aliquots (−20 °C)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Bio-Safe Coomassie G-250 (Bio-Rad); Amicon Ultra-0.5 10K (UFC501096) for desalting supernatants</w:t>
      </w:r>
    </w:p>
    <w:p>
      <w:pPr>
        <w:pStyle w:val="Heading2"/>
        <w:spacing w:after="100" w:before="200"/>
      </w:pPr>
      <w:r>
        <w:t xml:space="preserve">2.4 S2 spike-in chromatin</w:t>
      </w:r>
    </w:p>
    <w:p>
      <w:pPr>
        <w:spacing w:after="100"/>
      </w:pPr>
      <w:r>
        <w:t xml:space="preserve">Chen et al. add sonicated, lightly fixed S2 chromatin from ~3,000 cells (≈ 1 ng DNA) to each 200 µl plasma well. Native cfDNA is ~1–5 ng per 200 µl, so the spike-in:cfDNA ratio is ~0.2–1.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516"/>
      </w:tblGrid>
      <w:tr>
        <w:trPr>
          <w:tblHeader/>
        </w:trPr>
        <w:tc>
          <w:tcPr>
            <w:tcW w:type="dxa" w:w="35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51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Motif spike-in chromatin, 4 ng/µl (DNA content)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Dose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ng S2 DNA per 200 µl plasma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Working dilution (fresh, low-binding tube)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µl stock + 15 µl 10 mM Tris-HCl pH 8.0 → 1 ng/µl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well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µl, added from a master mix to every well including IgG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lot and dose in every run, so dm6 fractions compare between batches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Differences from the authors’ spike-in: </w:t>
      </w:r>
      <w:r>
        <w:t xml:space="preserve">they fix S2 cells lightly (1% formaldehyde, 5 min on ice) and sonicate to ~300 bp; commercial chromatin is likely more heavily crosslinked and may tagment and amplify less efficiently. Fine for within-lab comparisons; dm6 fractions may not match the paper. Optional: confirm the stock by extracting DNA from 5 µl (proteinase K + heat) and measuring with Qubit HS.</w:t>
      </w:r>
    </w:p>
    <w:p>
      <w:pPr>
        <w:pStyle w:val="Heading1"/>
        <w:spacing w:after="120" w:before="300"/>
      </w:pPr>
      <w:r>
        <w:t xml:space="preserve">3. Antibody–bead coupling (10 µg antibody scale)</w:t>
      </w:r>
    </w:p>
    <w:p>
      <w:pPr>
        <w:spacing w:after="100"/>
      </w:pPr>
      <w:r>
        <w:t xml:space="preserve">Scale per antibody: </w:t>
      </w:r>
      <w:r>
        <w:rPr>
          <w:b/>
          <w:bCs/>
        </w:rPr>
        <w:t xml:space="preserve">10 µg antibody on 0.5 mg beads (20 µg/mg)</w:t>
      </w:r>
      <w:r>
        <w:t xml:space="preserve">, matching the published ~1 µg antibody per 0.05 mg beads per reaction. This makes 10 reactions at 1 µg (50 µl beads each) or 5 reactions at 2 µg (100 µl each).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Do all marks together: </w:t>
      </w:r>
      <w:r>
        <w:t xml:space="preserve">couple H3K4me3, H3K27ac, H3K36me3 and IgG in one session from the same bead stock and buffers, so batches can be compared directly.</w:t>
      </w:r>
    </w:p>
    <w:p>
      <w:pPr>
        <w:pStyle w:val="Heading2"/>
        <w:spacing w:after="100" w:before="200"/>
      </w:pPr>
      <w:r>
        <w:t xml:space="preserve">3.1 Day 1: bead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Equilibrate. </w:t>
      </w:r>
      <w:r>
        <w:t xml:space="preserve">Let the closed bead vial reach room temperature (~30 min) before opening, so moisture does not condense on the powder.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Weigh. </w:t>
      </w:r>
      <w:r>
        <w:t xml:space="preserve">Weigh ~2.5 mg of lyophilised beads (enough for 4 antibodies plus spare) into a low-binding tube. Record the exact mass. Close the vial promptly.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Resuspend. </w:t>
      </w:r>
      <w:r>
        <w:t xml:space="preserve">Add Buffer A to 10 mg/ml (e.g. 250 µl for 2.5 mg). Vortex 30 s, then rotate 10 min at 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Wash. </w:t>
      </w:r>
      <w:r>
        <w:t xml:space="preserve">Place on magnet 1 min; discard supernatant. Resuspend in the same volume of Buffer A (10 mg/ml) and vortex.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Aliquot. </w:t>
      </w:r>
      <w:r>
        <w:t xml:space="preserve">Vortex immediately before each draw and pipette 50 µl (0.5 mg) into one labelled tube per antibody. Place on magnet and remove buffer completely.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Timing: </w:t>
      </w:r>
      <w:r>
        <w:t xml:space="preserve">epoxy groups hydrolyse once wet. Add the antibody within ~30 min of resuspending the beads.</w:t>
      </w:r>
    </w:p>
    <w:p>
      <w:pPr>
        <w:pStyle w:val="Heading2"/>
        <w:spacing w:after="100" w:before="200"/>
      </w:pPr>
      <w:r>
        <w:t xml:space="preserve">3.2 Day 1: coupling reaction (60 µl total)</w:t>
      </w:r>
    </w:p>
    <w:p>
      <w:pPr>
        <w:spacing w:after="100"/>
      </w:pPr>
      <w:r>
        <w:t xml:space="preserve">Add components to the washed beads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507"/>
        <w:gridCol w:w="3510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35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(10 µg)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 µl = 10 ÷ conc. (µg/µl)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10 µl at 1 µg/µl (91265)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A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40 − X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30 µl when X = 10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B (3 M ammonium sulfate)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1 M ammonium sulfate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Beads ≈ 8 mg/ml</w:t>
            </w:r>
          </w:p>
        </w:tc>
      </w:tr>
    </w:tbl>
    <w:p>
      <w:pPr>
        <w:spacing w:after="100"/>
      </w:pPr>
      <w:r>
        <w:t xml:space="preserve">If X &gt; 40 µl (dilute antibody), keep Buffer B at one-third of the final volume: Buffer B = (X + Buffer A) ÷ 2. With 91265 (30% glycerol), 10 µl in 60 µl gives 5% glycerol, which is acceptable.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Mix. </w:t>
      </w:r>
      <w:r>
        <w:t xml:space="preserve">Flick or briefly vortex. Seal caps with Parafilm.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Incubate. </w:t>
      </w:r>
      <w:r>
        <w:t xml:space="preserve">Rotate end-over-end at 8–15 rpm for </w:t>
      </w:r>
      <w:r>
        <w:rPr>
          <w:b/>
          <w:bCs/>
        </w:rPr>
        <w:t xml:space="preserve">48 h at 4 °C</w:t>
      </w:r>
      <w:r>
        <w:t xml:space="preserve"> or </w:t>
      </w:r>
      <w:r>
        <w:rPr>
          <w:b/>
          <w:bCs/>
        </w:rPr>
        <w:t xml:space="preserve">36 h at room temperature</w:t>
      </w:r>
      <w:r>
        <w:t xml:space="preserve"> (authors’ standard conditions). Check that beads remain suspended; flick occasionally or use a 0.5 ml tube for small volumes.</w:t>
      </w:r>
    </w:p>
    <w:p>
      <w:pPr>
        <w:pStyle w:val="Heading2"/>
        <w:spacing w:after="100" w:before="200"/>
      </w:pPr>
      <w:r>
        <w:t xml:space="preserve">3.3 Day 3: post-coupling washes and storage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Collect supernatant. </w:t>
      </w:r>
      <w:r>
        <w:t xml:space="preserve">Magnet 2 min. Transfer the entire supernatant (~60 µl) to a labelled tube and keep at 4 °C for the QC gel (Section 4). Do this before any BSA contacts the beads.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Block and wash. </w:t>
      </w:r>
      <w:r>
        <w:t xml:space="preserve">Wash 4× with 0.5 ml PBS + 0.1% BSA (author recommendation; reduces non-specific background). Wash 1: rotate 15–30 min at RT to block remaining epoxy sites (our addition; authors did not specify an incubation). Washes 2–4: quick — resuspend → magnet 1–2 min → discard.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Resuspend for storage. </w:t>
      </w:r>
      <w:r>
        <w:t xml:space="preserve">Resuspend in 500 µl antibody storage buffer (PBS + 0.05% azide) to give 1 mg/ml beads (~1 µg antibody per 50 µl).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Store. </w:t>
      </w:r>
      <w:r>
        <w:t xml:space="preserve">4 °C. Never freeze. Label with antibody, lot, coupling date, “10 µg / 0.5 mg”, and conditions (4 °C 48 h or RT 36 h).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Do not </w:t>
      </w:r>
      <w:r>
        <w:t xml:space="preserve">add BSA to the coupling reaction itself. It competes with the antibody for epoxy groups.</w:t>
      </w:r>
    </w:p>
    <w:p>
      <w:pPr>
        <w:pStyle w:val="Heading1"/>
        <w:spacing w:after="120" w:before="300"/>
      </w:pPr>
      <w:r>
        <w:t xml:space="preserve">4. Coupling QC gel (required for every coupling)</w:t>
      </w:r>
    </w:p>
    <w:p>
      <w:pPr>
        <w:spacing w:after="100"/>
      </w:pPr>
      <w:r>
        <w:t xml:space="preserve">Goal: show that the IgG heavy (~50 kDa) and light (~25 kDa) chains are depleted from the coupling supernatant. The 60 µl supernatant initially held 10 µg antibody (6 µl = 1 µg-equivalent if nothing coupled). The supernatant contains 1 M ammonium sulfate, which distorts lanes, so use Option A or B.</w:t>
      </w:r>
    </w:p>
    <w:p>
      <w:pPr>
        <w:pStyle w:val="Heading2"/>
        <w:spacing w:after="100" w:before="200"/>
      </w:pPr>
      <w:r>
        <w:t xml:space="preserve">4.1 Option A: desalt with Amicon Ultra-0.5 10K (preferred; allows Coomassie)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Pre-rinse </w:t>
      </w:r>
      <w:r>
        <w:t xml:space="preserve">the device with 500 µl water, 14,000 × g 5 min, RT. Do not let the membrane dry.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Load </w:t>
      </w:r>
      <w:r>
        <w:t xml:space="preserve">30 µl supernatant (5 µg-equivalent) + 470 µl water.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Spin 1: </w:t>
      </w:r>
      <w:r>
        <w:t xml:space="preserve">14,000 × g, 10–15 min, RT, to ~20–30 µl. Discard flow-through.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Spin 2: </w:t>
      </w:r>
      <w:r>
        <w:t xml:space="preserve">top up to 500 µl with water, mix gently, spin again to ~20 µl. Salt is now ~5 mM regardless of the retained volume.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Recover: </w:t>
      </w:r>
      <w:r>
        <w:t xml:space="preserve">invert the filter into a clean tube, 1,000 × g 2 min (~20 µl). If &gt; 25 µl, spin a further 2–5 min (checking) or load a known fraction and correct for it.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Recovery control (essential): </w:t>
      </w:r>
      <w:r>
        <w:t xml:space="preserve">2 µg uncoupled antibody in 30 µl mock supernatant (20 µl Buffer A + 10 µl Buffer B) processed identically, to correct for IgG lost on the membrane.</w:t>
      </w:r>
    </w:p>
    <w:p>
      <w:pPr>
        <w:pStyle w:val="Heading2"/>
        <w:spacing w:after="100" w:before="200"/>
      </w:pPr>
      <w:r>
        <w:t xml:space="preserve">4.2 Option B: direct load with matched salt</w:t>
      </w:r>
    </w:p>
    <w:p>
      <w:pPr>
        <w:spacing w:after="100"/>
      </w:pPr>
      <w:r>
        <w:t xml:space="preserve">Load 6 µl supernatant + 14 µl water. Add 6 µl mock supernatant (Buffer A:Buffer B 2:1) to every standard and empty lane so all lanes contain 0.2 M ammonium sulfate and distort equally. Lower sensitivity (1 µg-equivalent per lane).</w:t>
      </w:r>
    </w:p>
    <w:p>
      <w:pPr>
        <w:pStyle w:val="Heading2"/>
        <w:spacing w:after="100" w:before="200"/>
      </w:pPr>
      <w:r>
        <w:t xml:space="preserve">4.3 Sample preparation and gel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Sample (desalted supernatant, standard in water, or Option B mix)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3× SDS loading buffer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 DTT (fresh aliquot) — or β-ME pre-mixed into the buffer (90 µl 3× + 10 µl β-ME, fume hood)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(load all; fits a 10-well TGX)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 µl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Heat 95 °C, 5 min; spin briefly. Fill unused wells with 1× loading buffer.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Standards: 0.25, 0.5 and 1 µg of the same antibody as each supernatant (heavy-chain size varies slightly between antibodies), plus 0.25 µg BSA (66 kDa).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Mini-PROTEAN TGX 4–20%: fresh 1× Tris/glycine/SDS (25 mM Tris, 192 mM glycine, 0.1% SDS; do not pH-adjust), 200 V constant, ~30–35 min. Remove the green tape; rinse wells.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Storage: supernatants 4 °C ≤ 1 week or −20 °C for months; samples in loading buffer −20 °C — add fresh DTT and reheat before running.</w:t>
      </w:r>
    </w:p>
    <w:p>
      <w:pPr>
        <w:pStyle w:val="Heading2"/>
        <w:spacing w:after="100" w:before="200"/>
      </w:pPr>
      <w:r>
        <w:t xml:space="preserve">4.4 Staining (Bio-Safe Coomassie G-250)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Wash gel 3 × 5 min in deionised water (removes SDS; important for sensitivity).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Stain ≥ 1 h or overnight with gentle shaking (≤ 24 h). Destain in water, changing a few times. Sensitivity ~10–30 ng per band.</w:t>
      </w:r>
    </w:p>
    <w:p>
      <w:pPr>
        <w:pStyle w:val="Heading2"/>
        <w:spacing w:after="100" w:before="200"/>
      </w:pPr>
      <w:r>
        <w:t xml:space="preserve">4.5 Interpretation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 (reducing)</w:t>
            </w:r>
          </w:p>
        </w:tc>
        <w:tc>
          <w:tcPr>
            <w:tcW w:type="dxa" w:w="401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heavy chain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~50–55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read-out; compare with same-antibody standards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light chain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Stains weaker (~1/3 of IgG mass); faint bands expected even with good coupling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BSA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~66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for ab177178 / ab4729 (carrier); ignore for pass/fail. Should not appear in BSA-free antibodies — if it does, check the supernatant was collected before BSA washes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~75 kDa band in all lanes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~75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Incompletely reduced IgG; use fresh DTT and 95 °C 5 min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Histone H3 (datasheet “17 kDa”)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~15–17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target, not the antibody; not expected on this gel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Calculation and pass: </w:t>
      </w:r>
      <w:r>
        <w:t xml:space="preserve">% coupled = 1 − (supernatant µg ÷ µg-equivalent loaded), after correcting for recovery-control loss (Option A). Pass ≥ 80%. Example: band ≈ 0.25 µg from 5 µg-equivalent at 50% recovery → ~0.5 µg left → ~90% coupled.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Quick alternative: </w:t>
      </w:r>
      <w:r>
        <w:t xml:space="preserve">Qubit Protein assay depletion (supernatant vs a matched no-bead input incubated in parallel) works for BSA-free antibodies (H3K4me3, H3K36me3, IgG). Not valid for ab177178/ab4729 because BSA is measured too. NanoDrop A280 is not reliable below ~0.1 mg/ml.</w:t>
      </w:r>
    </w:p>
    <w:p>
      <w:pPr>
        <w:pStyle w:val="Heading1"/>
        <w:spacing w:after="120" w:before="300"/>
      </w:pPr>
      <w:r>
        <w:t xml:space="preserve">5. Plasma preparation (pre-analytical)</w:t>
      </w:r>
    </w:p>
    <w:p>
      <w:pPr>
        <w:spacing w:after="100"/>
      </w:pPr>
      <w:r>
        <w:t xml:space="preserve">These steps are recommendations from our troubleshooting, not from the published methods. High background in patient plasma (IgG enrichment at active promoters) pointed to contaminating cellular chromatin.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blood in EDTA tubes and process within 2 h, or use cfDNA-stabilising tubes (Streck BCT or PAXgene ccfDNA).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centrifugation: 1,600 × g, 10 min, 4 °C; transfer plasma without disturbing the buffy coat; then 16,000 × g, 10 min, 4 °C.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Aliquot and store at −80 °C. Avoid repeated freeze–thaw cycles.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draw-to-spin time, tube type, haemolysis and any cfDNA quantification for every sample.</w:t>
      </w:r>
    </w:p>
    <w:p>
      <w:pPr>
        <w:pStyle w:val="Heading1"/>
        <w:spacing w:after="120" w:before="300"/>
      </w:pPr>
      <w:r>
        <w:t xml:space="preserve">6. cf-chromatin capture, tagmentation and PCR (per Chen et al.)</w:t>
      </w:r>
    </w:p>
    <w:p>
      <w:pPr>
        <w:pStyle w:val="Heading2"/>
        <w:spacing w:after="100" w:before="200"/>
      </w:pPr>
      <w:r>
        <w:t xml:space="preserve">6.1 Capture (Day 1, overnight)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Prepare beads. </w:t>
      </w:r>
      <w:r>
        <w:t xml:space="preserve">Vortex the coupled bead stock. For each reaction take 50 µl (0.05 mg beads, ~1 µg antibody); place on magnet and remove the storage buffer.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Assemble. </w:t>
      </w:r>
      <w:r>
        <w:t xml:space="preserve">To 200 µl plasma add the beads, cOmplete protease inhibitor (1×), 10 mM sodium butyrate and 1 ng S2 spike-in chromatin (1 µl of 1 ng/µl working dilution; Section 2.4). Prepare these additives as one master mix for all wells.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Capture. </w:t>
      </w:r>
      <w:r>
        <w:t xml:space="preserve">Rotate overnight at 4 °C.</w:t>
      </w:r>
    </w:p>
    <w:p>
      <w:pPr>
        <w:pStyle w:val="Heading2"/>
        <w:spacing w:after="100" w:before="200"/>
      </w:pPr>
      <w:r>
        <w:t xml:space="preserve">6.2 Washes (Day 2)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Wash 3× </w:t>
      </w:r>
      <w:r>
        <w:t xml:space="preserve">with cold wash buffer (50 mM Tris-HCl pH 7.4, 150 mM NaCl, 0.5% Triton X-100, 2 mM EDTA, 10 mM sodium butyrate). Plasma is viscous: allow 3–5 min on the magnet for the first separation.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Wash 1× </w:t>
      </w:r>
      <w:r>
        <w:t xml:space="preserve">with 10 mM Tris-HCl pH 7.4. Remove all liquid.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Note: </w:t>
      </w:r>
      <w:r>
        <w:t xml:space="preserve">there is no wash after tagmentation. Free Tn5 tags all DNA on the beads, so stringent pre-tagmentation washing is the only specificity step after capture.</w:t>
      </w:r>
    </w:p>
    <w:p>
      <w:pPr>
        <w:pStyle w:val="Heading2"/>
        <w:spacing w:after="100" w:before="200"/>
      </w:pPr>
      <w:r>
        <w:t xml:space="preserve">6.3 Tagmentation, lysis and quench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Tagment. </w:t>
      </w:r>
      <w:r>
        <w:t xml:space="preserve">Resuspend beads in 10 µl tagmentation buffer (10 mM MgCl2, 10 mM TAPS-NaOH pH 8.5, 100 nM barcoded Tn5). Incubate 37 °C, 30 min.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Lyse. </w:t>
      </w:r>
      <w:r>
        <w:t xml:space="preserve">Add 2 µl lysis buffer. Incubate 55 °C, 15 min.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Quench. </w:t>
      </w:r>
      <w:r>
        <w:t xml:space="preserve">Add 5 µl quench buffer. Incubate 37 °C, 15 min.</w:t>
      </w:r>
    </w:p>
    <w:p>
      <w:pPr>
        <w:pStyle w:val="Heading2"/>
        <w:spacing w:after="100" w:before="200"/>
      </w:pPr>
      <w:r>
        <w:t xml:space="preserve">6.4 PCR enrichment</w:t>
      </w:r>
    </w:p>
    <w:p>
      <w:pPr>
        <w:spacing w:after="100"/>
      </w:pPr>
      <w:r>
        <w:t xml:space="preserve">To each well add: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5× KAPA HiFi GC buffer (“High GC enhancer buffer” in the paper)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dNTP mix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 mM MgCl2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KAPA HiFi DNA polymerase (1 U/µl)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H2O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i5 index primer (10 µM)*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i7 index primer (10 µM)*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*The paper states “10 mM”; 10 µM is the standard working concentration for index primers. Confirm against the paper’s Supplementary Table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2006"/>
        <w:gridCol w:w="2005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Gap fill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denaturation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Denature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s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Anneal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65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s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extension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300"/>
      </w:pPr>
      <w:r>
        <w:t xml:space="preserve">7. Library clean-up and QC</w:t>
      </w:r>
    </w:p>
    <w:p>
      <w:pPr>
        <w:pStyle w:val="Heading2"/>
        <w:spacing w:after="100" w:before="200"/>
      </w:pPr>
      <w:r>
        <w:t xml:space="preserve">7.1 Clean-up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Purify twice </w:t>
      </w:r>
      <w:r>
        <w:t xml:space="preserve">with 1.2× AMPure XP beads (per the paper). Elute in 20–25 µl 10 mM Tris pH 8.0.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Optional extra clean-up </w:t>
      </w:r>
      <w:r>
        <w:t xml:space="preserve">at 0.9–1.0× only if the ~140 bp adapter-dimer peak is &gt; 10% of area. Fragments of 140 bp and ~205 bp are close in size; tighter ratios lose library.</w:t>
      </w:r>
    </w:p>
    <w:p>
      <w:pPr>
        <w:pStyle w:val="Heading2"/>
        <w:spacing w:after="100" w:before="200"/>
      </w:pPr>
      <w:r>
        <w:t xml:space="preserve">7.2 TapeStation / Bioanalyzer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8"/>
        <w:gridCol w:w="3810"/>
      </w:tblGrid>
      <w:tr>
        <w:trPr>
          <w:tblHeader/>
        </w:trPr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8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 / action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Nucleosomal ladder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~300–320, ~500, ~700 bp (some runs peak ~205–220 bp)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chromatin-derived library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Adapter dimer (no insert)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~135–150 bp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10% area: sequence as is. &gt; 10–15%: extra 0.9–1.0× AMPure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 ~200 bp peak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~200 bp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Short-insert products, typical of low-input wells; sequenceable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High-molecular-weight material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 kb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Possible genomic DNA from white blood cells; review plasma handling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Yield is not specificity: </w:t>
      </w:r>
      <w:r>
        <w:t xml:space="preserve">with pg-level input and 21 PCR cycles, libraries approach plateau. IgG yields may equal or exceed mark yields. Judge libraries by sequencing metrics (Section 8), not ng/µl.</w:t>
      </w:r>
    </w:p>
    <w:p>
      <w:pPr>
        <w:pStyle w:val="Heading2"/>
        <w:spacing w:after="100" w:before="200"/>
      </w:pPr>
      <w:r>
        <w:t xml:space="preserve">7.3 Pooling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Quantify molarity over ~170–1,000 bp (excludes adapter dimer) in the TapeStation software.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by library qPCR, especially if the ScreenTape is expired.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paired-end 150 bp (DNBSEQ-T7 in the paper). QC runs: 2–5 M read pairs per library; analysis: ≥ 10 M; give broad marks (H3K36me3) more.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1 ng S2 per well, dm6 reads may be ~10–50% of mark libraries (lower in IgG): increase depth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include an IgG library in each pool.</w:t>
      </w:r>
    </w:p>
    <w:p>
      <w:pPr>
        <w:pStyle w:val="Heading1"/>
        <w:spacing w:after="120" w:before="300"/>
      </w:pPr>
      <w:r>
        <w:t xml:space="preserve">8. Sequencing data QC</w:t>
      </w:r>
    </w:p>
    <w:p>
      <w:pPr>
        <w:spacing w:after="100"/>
      </w:pPr>
      <w:r>
        <w:t xml:space="preserve">Required outputs from the pipeline: deduplicated BAM/bigWig (hg38), unique fragments, duplication rate, and reads mapping to dm6 (S2 spike-in; requires alignment to a combined hg38 + dm6 reference).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3"/>
        <w:gridCol w:w="1536"/>
        <w:gridCol w:w="1344"/>
        <w:gridCol w:w="1536"/>
        <w:gridCol w:w="1537"/>
      </w:tblGrid>
      <w:tr>
        <w:trPr>
          <w:tblHeader/>
        </w:trPr>
        <w:tc>
          <w:tcPr>
            <w:tcW w:type="dxa" w:w="307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 (scripts: cfepi_qc.py, cfepi_k36.py)</w:t>
            </w:r>
          </w:p>
        </w:tc>
        <w:tc>
          <w:tcPr>
            <w:tcW w:type="dxa" w:w="153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H3K4me3</w:t>
            </w:r>
          </w:p>
        </w:tc>
        <w:tc>
          <w:tcPr>
            <w:tcW w:type="dxa" w:w="134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H3K27ac</w:t>
            </w:r>
          </w:p>
        </w:tc>
        <w:tc>
          <w:tcPr>
            <w:tcW w:type="dxa" w:w="153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H3K36me3</w:t>
            </w:r>
          </w:p>
        </w:tc>
        <w:tc>
          <w:tcPr>
            <w:tcW w:type="dxa" w:w="153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IgG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TSS/flank (TSS ±500 bp vs 4–5 kb flanks)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10 (HC1 benchmark 18.7)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5 (HC1: 5.2)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~1–2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(or &lt; 1)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Gene-body active/silent (genes ≥ 10 kb)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~1–1.5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2 (HC1 Aug: 1.16 = fail)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TSS active/silent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3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(&gt; 1.3 suggests cellular-chromatin background)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(dm6) read fraction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 across samples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IgG with TSS enrichment above 1 indicates non-specific tagmentation of accessible cellular chromatin (ATAC-like background).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S2 capture with low human enrichment points to the sample (background or antibody saturation). Low S2 capture points to a failed well or failed beads.</w:t>
      </w:r>
    </w:p>
    <w:p>
      <w:pPr>
        <w:pStyle w:val="Heading1"/>
        <w:spacing w:after="120" w:before="300"/>
      </w:pPr>
      <w:r>
        <w:t xml:space="preserve">9.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 ≈ IgG on TSS/flank or gene-body metrics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Poor coupling; antibody lot; too little antibody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supernatant gel; recouple fresh; try 2 µg/reaction; new lot or alternative antibody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H3K36me3 gene-body active/silent &lt; 1.5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Coupling or lot (formulation is compatible)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Gel QC; recouple with authors’ conditions; titrate 1 vs 2 µg; new lot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H3K27ac weak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ab4729 lot variation; 1% BSA reduces coupling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Switch to ab177178 (author recommendation)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enriched at active TSSs (patient plasma)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Cellular chromatin / WBC lysis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Double spin; faster processing; stabilising tubes; compare 100 vs 200 µl plasma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 ~140 bp peak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template; Tn5 adapter dimers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 0.9–1.0× AMPure if &gt; 10–15% area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Library peaks &gt; 1 kb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Genomic DNA contamination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plasma handling; second high-speed spin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 samples flat or ≈ IgG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Matrix not validated; cells or debris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 optimisation: cell removal, input volume, cfDNA QC</w:t>
            </w:r>
          </w:p>
        </w:tc>
      </w:tr>
    </w:tbl>
    <w:p>
      <w:pPr>
        <w:pStyle w:val="Heading1"/>
        <w:spacing w:after="120" w:before="300"/>
      </w:pPr>
      <w:r>
        <w:t xml:space="preserve">10. Notes from author correspondence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Motif 91103 and 91265 were coupled directly from their supplied storage buffers, without buffer exchange; the post-coupling supernatant gel showed minimal remaining antibody.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Coupling conditions were not adjusted per antibody: 48 h at 4 °C or 36 h at RT, with antibody-to-bead ratios per the manufacturer.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Abcam ab4729 generally works but shows occasional lot-to-lot variation; ab177178 has performed better and more consistently in their recent experiments.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Washing coupled beads with PBS + 0.1% BSA rather than PBS alone helps reduce non-specific background.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S2 spike-in: ~3,000 lightly fixed (1% FA, 5 min on ice), sonicated (~300 bp) S2 cells ≈ 1 ng DNA per 200 µl plasma; DNA quantified by Qubit after phenol–chloroform extraction.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questions: whether storage buffer also contains BSA; exact µg antibody per mg beads; whether the first BSA wash includes an incubation; typical QC thresholds and dm6 read fractions for healthy plasma.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cf-EpiTracing Bench Protocol v1.1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</w:lvl>
    <w:lvl w:ilvl="1" w15:tentative="1">
      <w:start w:val="1"/>
      <w:numFmt w:val="lowerLetter"/>
      <w:lvlText w:val="%2."/>
      <w:lvlJc w:val="left"/>
      <w:pPr>
        <w:ind w:left="8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cf-EpiTracing Bench Protocol</dc:title>
  <dc:creator>H. Ludewick</dc:creator>
  <cp:lastModifiedBy>Un-named</cp:lastModifiedBy>
  <cp:revision>1</cp:revision>
  <dcterms:created xsi:type="dcterms:W3CDTF">2026-10-14T06:52:23.695Z</dcterms:created>
  <dcterms:modified xsi:type="dcterms:W3CDTF">2026-10-14T06:52:23.705Z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