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1.9 · 22.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2600"/>
            <w:tcMar>
              <w:top w:type="dxa" w:w="80"/>
              <w:left w:type="dxa" w:w="100"/>
              <w:bottom w:type="dxa" w:w="80"/>
              <w:right w:type="dxa" w:w="100"/>
            </w:tcMar>
          </w:tcPr>
          <w:p>
            <w:r>
              <w:rPr>
                <w:b w:val="false"/>
                <w:bCs w:val="false"/>
              </w:rPr>
              <w:t xml:space="preserve">1.6 · 21. 10. 2026</w:t>
            </w:r>
          </w:p>
        </w:tc>
        <w:tc>
          <w:tcPr>
            <w:tcW w:type="dxa" w:w="68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2600"/>
            <w:tcMar>
              <w:top w:type="dxa" w:w="80"/>
              <w:left w:type="dxa" w:w="100"/>
              <w:bottom w:type="dxa" w:w="80"/>
              <w:right w:type="dxa" w:w="100"/>
            </w:tcMar>
          </w:tcPr>
          <w:p>
            <w:r>
              <w:rPr>
                <w:b w:val="false"/>
                <w:bCs w:val="false"/>
              </w:rPr>
              <w:t xml:space="preserve">1.7 · 21. 10. 2026</w:t>
            </w:r>
          </w:p>
        </w:tc>
        <w:tc>
          <w:tcPr>
            <w:tcW w:type="dxa" w:w="68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2600"/>
            <w:tcMar>
              <w:top w:type="dxa" w:w="80"/>
              <w:left w:type="dxa" w:w="100"/>
              <w:bottom w:type="dxa" w:w="80"/>
              <w:right w:type="dxa" w:w="100"/>
            </w:tcMar>
          </w:tcPr>
          <w:p>
            <w:r>
              <w:rPr>
                <w:b w:val="false"/>
                <w:bCs w:val="false"/>
              </w:rPr>
              <w:t xml:space="preserve">1.8 · 21. 10. 2026</w:t>
            </w:r>
          </w:p>
        </w:tc>
        <w:tc>
          <w:tcPr>
            <w:tcW w:type="dxa" w:w="68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2600"/>
            <w:tcMar>
              <w:top w:type="dxa" w:w="80"/>
              <w:left w:type="dxa" w:w="100"/>
              <w:bottom w:type="dxa" w:w="80"/>
              <w:right w:type="dxa" w:w="100"/>
            </w:tcMar>
          </w:tcPr>
          <w:p>
            <w:r>
              <w:rPr>
                <w:b w:val="false"/>
                <w:bCs w:val="false"/>
              </w:rPr>
              <w:t xml:space="preserve">1.9 · 22. 10. 2026</w:t>
            </w:r>
          </w:p>
        </w:tc>
        <w:tc>
          <w:tcPr>
            <w:tcW w:type="dxa" w:w="68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Doba splatnosti</w:t>
            </w:r>
          </w:p>
        </w:tc>
        <w:tc>
          <w:tcPr>
            <w:tcW w:type="dxa" w:w="6800"/>
            <w:tcMar>
              <w:top w:type="dxa" w:w="80"/>
              <w:left w:type="dxa" w:w="100"/>
              <w:bottom w:type="dxa" w:w="80"/>
              <w:right w:type="dxa" w:w="100"/>
            </w:tcMar>
          </w:tcPr>
          <w:p>
            <w:r>
              <w:rPr>
                <w:b w:val="false"/>
                <w:bCs w:val="false"/>
              </w:rPr>
              <w:t xml:space="preserve">Ve dnech od vystavení platebního pokynu; výchozí globální hodnota s možností přepsat u akce. Splatnost nikdy nepřesáhne začátek akce (kap. 3.6)</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Výchozí splatnost pro termíny této služby (kap. 3.6)</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Rezervace na poslední chvíli a platba na místě</w:t>
      </w:r>
    </w:p>
    <w:p>
      <w:pPr>
        <w:spacing w:after="140" w:line="300"/>
      </w:pPr>
      <w:r>
        <w:t xml:space="preserve">Akci i individuální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Splatnost platebního pokynu je dřívější z hodnot „nastavená splatnost“ a „začátek akce/termínu“.</w:t>
      </w:r>
    </w:p>
    <w:p>
      <w:pPr>
        <w:pStyle w:val="ListParagraph"/>
        <w:numPr>
          <w:ilvl w:val="0"/>
          <w:numId w:val="1"/>
        </w:numPr>
        <w:spacing w:after="80" w:line="280"/>
      </w:pPr>
      <w:r>
        <w:t xml:space="preserve">Rezervace vytvořená méně než X hodin před začátkem (parametr „Hranice pro platbu na místě“, výchozí 24 h, nastavitelný) dostane platební pokyn s QR kódem i informaci, že pokud platba nestihne dorazit,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Hanka po přijetí platby na místě označí rezervaci v administraci jako zaplacenou (způsob úhrady „na místě“). Dorazí-li převod později, modul kontroly plateb ho spáruje standardně.</w:t>
      </w:r>
    </w:p>
    <w:p>
      <w:pPr>
        <w:pStyle w:val="ListParagraph"/>
        <w:numPr>
          <w:ilvl w:val="0"/>
          <w:numId w:val="1"/>
        </w:numPr>
        <w:spacing w:after="80" w:line="280"/>
      </w:pPr>
      <w:r>
        <w:t xml:space="preserve">Rezervace vytvořené s dostatečným předstihem se řídí běžnou splatností a expirací (kap. 7.2b).</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Jedinou platební možností je „Bankovní převod (QR platba)“.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zablokuje jedno místo a přidělí jí unikátní VS (kap. 5.3).</w:t>
      </w:r>
    </w:p>
    <w:p>
      <w:pPr>
        <w:pStyle w:val="ListParagraph"/>
        <w:numPr>
          <w:ilvl w:val="0"/>
          <w:numId w:val="5"/>
        </w:numPr>
        <w:spacing w:after="80" w:line="280"/>
      </w:pPr>
      <w:r>
        <w:t xml:space="preserve">Systém odešle e-mail s platebním pokynem a QR kódem (kap. 5)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Menu „Rezervace“: Rezervace, Nová rezervace,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na místě“.</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splatnost, hranice pro platbu na místě (3.6), parametry služeb (délka, pauza),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Rezervace na poslední chvíli (kap. 3.6), jejíž platba do začátku akce nedorazila</w:t>
            </w:r>
          </w:p>
        </w:tc>
        <w:tc>
          <w:tcPr>
            <w:tcW w:type="dxa" w:w="3800"/>
            <w:tcMar>
              <w:top w:type="dxa" w:w="80"/>
              <w:left w:type="dxa" w:w="100"/>
              <w:bottom w:type="dxa" w:w="80"/>
              <w:right w:type="dxa" w:w="100"/>
            </w:tcMar>
          </w:tcPr>
          <w:p>
            <w:r>
              <w:rPr>
                <w:b w:val="false"/>
                <w:bCs w:val="false"/>
              </w:rPr>
              <w:t xml:space="preserve">Místo zůstává blokované; Hanka po zaplacení na místě označí rezervaci ručně jako zaplacenou</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Pro logiku 7.2b</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nebo platba na místě (označeno ručně);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Otevřená</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platebního pokynu nikdy nepřesáhne začátek akce/termínu.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 0.3.2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w:t>
            </w:r>
          </w:p>
        </w:tc>
        <w:tc>
          <w:tcPr>
            <w:tcW w:type="dxa" w:w="2200"/>
            <w:tcMar>
              <w:top w:type="dxa" w:w="80"/>
              <w:left w:type="dxa" w:w="100"/>
              <w:bottom w:type="dxa" w:w="80"/>
              <w:right w:type="dxa" w:w="100"/>
            </w:tcMar>
          </w:tcPr>
          <w:p>
            <w:r>
              <w:rPr>
                <w:b w:val="false"/>
                <w:bCs w:val="false"/>
              </w:rPr>
              <w:t xml:space="preserve">Připraveno k vývoji – účet RB znám (k potvrzení, otázka 16)</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(dle avíza): Raiffeisenbank 8032378004/5500, IBAN CZ4655000000008032378004 – zatím nezadán v nastavení.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