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UniCredit Bank (výhradně ve WordPressu) a správu stavu úhrady</w:t>
      </w:r>
    </w:p>
    <w:p>
      <w:pPr>
        <w:spacing w:before="800"/>
        <w:jc w:val="center"/>
      </w:pPr>
      <w:r>
        <w:rPr>
          <w:color w:val="666666"/>
          <w:sz w:val="20"/>
          <w:szCs w:val="20"/>
        </w:rPr>
        <w:t xml:space="preserve">Verze 2.0 · 22. října 2026</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Verze</w:t>
            </w:r>
          </w:p>
        </w:tc>
        <w:tc>
          <w:tcPr>
            <w:tcW w:type="dxa" w:w="6800"/>
            <w:shd w:fill="AE9333" w:val="clear"/>
            <w:tcMar>
              <w:top w:type="dxa" w:w="80"/>
              <w:left w:type="dxa" w:w="100"/>
              <w:bottom w:type="dxa" w:w="80"/>
              <w:right w:type="dxa" w:w="100"/>
            </w:tcMar>
          </w:tcPr>
          <w:p>
            <w:r>
              <w:rPr>
                <w:b/>
                <w:bCs/>
                <w:color w:val="FFFFFF"/>
              </w:rPr>
              <w:t xml:space="preserve">Změny</w:t>
            </w:r>
          </w:p>
        </w:tc>
      </w:tr>
      <w:tr>
        <w:tc>
          <w:tcPr>
            <w:tcW w:type="dxa" w:w="2600"/>
            <w:tcMar>
              <w:top w:type="dxa" w:w="80"/>
              <w:left w:type="dxa" w:w="100"/>
              <w:bottom w:type="dxa" w:w="80"/>
              <w:right w:type="dxa" w:w="100"/>
            </w:tcMar>
          </w:tcPr>
          <w:p>
            <w:r>
              <w:rPr>
                <w:b w:val="false"/>
                <w:bCs w:val="false"/>
              </w:rPr>
              <w:t xml:space="preserve">1.0 · 28. 8. 2026</w:t>
            </w:r>
          </w:p>
        </w:tc>
        <w:tc>
          <w:tcPr>
            <w:tcW w:type="dxa" w:w="6800"/>
            <w:tcMar>
              <w:top w:type="dxa" w:w="80"/>
              <w:left w:type="dxa" w:w="100"/>
              <w:bottom w:type="dxa" w:w="80"/>
              <w:right w:type="dxa" w:w="100"/>
            </w:tcMar>
          </w:tcPr>
          <w:p>
            <w:r>
              <w:rPr>
                <w:b w:val="false"/>
                <w:bCs w:val="false"/>
              </w:rPr>
              <w:t xml:space="preserve">První verze analytického zadání.</w:t>
            </w:r>
          </w:p>
        </w:tc>
      </w:tr>
      <w:tr>
        <w:tc>
          <w:tcPr>
            <w:tcW w:type="dxa" w:w="2600"/>
            <w:tcMar>
              <w:top w:type="dxa" w:w="80"/>
              <w:left w:type="dxa" w:w="100"/>
              <w:bottom w:type="dxa" w:w="80"/>
              <w:right w:type="dxa" w:w="100"/>
            </w:tcMar>
          </w:tcPr>
          <w:p>
            <w:r>
              <w:rPr>
                <w:b w:val="false"/>
                <w:bCs w:val="false"/>
              </w:rPr>
              <w:t xml:space="preserve">1.1 · 20. 10. 2026</w:t>
            </w:r>
          </w:p>
        </w:tc>
        <w:tc>
          <w:tcPr>
            <w:tcW w:type="dxa" w:w="68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2600"/>
            <w:tcMar>
              <w:top w:type="dxa" w:w="80"/>
              <w:left w:type="dxa" w:w="100"/>
              <w:bottom w:type="dxa" w:w="80"/>
              <w:right w:type="dxa" w:w="100"/>
            </w:tcMar>
          </w:tcPr>
          <w:p>
            <w:r>
              <w:rPr>
                <w:b w:val="false"/>
                <w:bCs w:val="false"/>
              </w:rPr>
              <w:t xml:space="preserve">1.2 · 20. 10. 2026</w:t>
            </w:r>
          </w:p>
        </w:tc>
        <w:tc>
          <w:tcPr>
            <w:tcW w:type="dxa" w:w="68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2600"/>
            <w:tcMar>
              <w:top w:type="dxa" w:w="80"/>
              <w:left w:type="dxa" w:w="100"/>
              <w:bottom w:type="dxa" w:w="80"/>
              <w:right w:type="dxa" w:w="100"/>
            </w:tcMar>
          </w:tcPr>
          <w:p>
            <w:r>
              <w:rPr>
                <w:b w:val="false"/>
                <w:bCs w:val="false"/>
              </w:rPr>
              <w:t xml:space="preserve">1.3 · 21. 10. 2026</w:t>
            </w:r>
          </w:p>
        </w:tc>
        <w:tc>
          <w:tcPr>
            <w:tcW w:type="dxa" w:w="68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2600"/>
            <w:tcMar>
              <w:top w:type="dxa" w:w="80"/>
              <w:left w:type="dxa" w:w="100"/>
              <w:bottom w:type="dxa" w:w="80"/>
              <w:right w:type="dxa" w:w="100"/>
            </w:tcMar>
          </w:tcPr>
          <w:p>
            <w:r>
              <w:rPr>
                <w:b w:val="false"/>
                <w:bCs w:val="false"/>
              </w:rPr>
              <w:t xml:space="preserve">1.4 · 21. 10. 2026</w:t>
            </w:r>
          </w:p>
        </w:tc>
        <w:tc>
          <w:tcPr>
            <w:tcW w:type="dxa" w:w="68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2600"/>
            <w:tcMar>
              <w:top w:type="dxa" w:w="80"/>
              <w:left w:type="dxa" w:w="100"/>
              <w:bottom w:type="dxa" w:w="80"/>
              <w:right w:type="dxa" w:w="100"/>
            </w:tcMar>
          </w:tcPr>
          <w:p>
            <w:r>
              <w:rPr>
                <w:b w:val="false"/>
                <w:bCs w:val="false"/>
              </w:rPr>
              <w:t xml:space="preserve">1.5 · 21. 10. 2026</w:t>
            </w:r>
          </w:p>
        </w:tc>
        <w:tc>
          <w:tcPr>
            <w:tcW w:type="dxa" w:w="68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2600"/>
            <w:tcMar>
              <w:top w:type="dxa" w:w="80"/>
              <w:left w:type="dxa" w:w="100"/>
              <w:bottom w:type="dxa" w:w="80"/>
              <w:right w:type="dxa" w:w="100"/>
            </w:tcMar>
          </w:tcPr>
          <w:p>
            <w:r>
              <w:rPr>
                <w:b w:val="false"/>
                <w:bCs w:val="false"/>
              </w:rPr>
              <w:t xml:space="preserve">1.6 · 21. 10. 2026</w:t>
            </w:r>
          </w:p>
        </w:tc>
        <w:tc>
          <w:tcPr>
            <w:tcW w:type="dxa" w:w="68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2600"/>
            <w:tcMar>
              <w:top w:type="dxa" w:w="80"/>
              <w:left w:type="dxa" w:w="100"/>
              <w:bottom w:type="dxa" w:w="80"/>
              <w:right w:type="dxa" w:w="100"/>
            </w:tcMar>
          </w:tcPr>
          <w:p>
            <w:r>
              <w:rPr>
                <w:b w:val="false"/>
                <w:bCs w:val="false"/>
              </w:rPr>
              <w:t xml:space="preserve">1.7 · 21. 10. 2026</w:t>
            </w:r>
          </w:p>
        </w:tc>
        <w:tc>
          <w:tcPr>
            <w:tcW w:type="dxa" w:w="68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2600"/>
            <w:tcMar>
              <w:top w:type="dxa" w:w="80"/>
              <w:left w:type="dxa" w:w="100"/>
              <w:bottom w:type="dxa" w:w="80"/>
              <w:right w:type="dxa" w:w="100"/>
            </w:tcMar>
          </w:tcPr>
          <w:p>
            <w:r>
              <w:rPr>
                <w:b w:val="false"/>
                <w:bCs w:val="false"/>
              </w:rPr>
              <w:t xml:space="preserve">1.8 · 21. 10. 2026</w:t>
            </w:r>
          </w:p>
        </w:tc>
        <w:tc>
          <w:tcPr>
            <w:tcW w:type="dxa" w:w="68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2600"/>
            <w:tcMar>
              <w:top w:type="dxa" w:w="80"/>
              <w:left w:type="dxa" w:w="100"/>
              <w:bottom w:type="dxa" w:w="80"/>
              <w:right w:type="dxa" w:w="100"/>
            </w:tcMar>
          </w:tcPr>
          <w:p>
            <w:r>
              <w:rPr>
                <w:b w:val="false"/>
                <w:bCs w:val="false"/>
              </w:rPr>
              <w:t xml:space="preserve">1.9 · 22. 10. 2026</w:t>
            </w:r>
          </w:p>
        </w:tc>
        <w:tc>
          <w:tcPr>
            <w:tcW w:type="dxa" w:w="68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2600"/>
            <w:tcMar>
              <w:top w:type="dxa" w:w="80"/>
              <w:left w:type="dxa" w:w="100"/>
              <w:bottom w:type="dxa" w:w="80"/>
              <w:right w:type="dxa" w:w="100"/>
            </w:tcMar>
          </w:tcPr>
          <w:p>
            <w:r>
              <w:rPr>
                <w:b w:val="false"/>
                <w:bCs w:val="false"/>
              </w:rPr>
              <w:t xml:space="preserve">2.0 · 22. 10. 2026</w:t>
            </w:r>
          </w:p>
        </w:tc>
        <w:tc>
          <w:tcPr>
            <w:tcW w:type="dxa" w:w="68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(Rezervace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nebo by splatnost už uplynula. Splatnost = začátek termínu, e-mail obsahuje QR kód i informaci, že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se řídí běžnou expirací (kap. 7.2b).</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Menu „Rezervace“: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kap. 3.6)</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(se zástupnými proměnnými: jméno, akce, termín, místo, částka, VS). Odesílání přes transakční SMTP/API službu, ne přes výchozí WP mail()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Rezervace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 součást etapy E4 (spolu s QR kódem v e-mailech).</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Např. název akce / jméno zákazníka</w:t>
            </w:r>
          </w:p>
        </w:tc>
      </w:tr>
    </w:tbl>
    <w:p>
      <w:pPr>
        <w:spacing w:after="80"/>
      </w:pPr>
    </w:p>
    <w:p>
      <w:pPr>
        <w:spacing w:after="140" w:line="300"/>
      </w:pPr>
      <w:r>
        <w:rPr>
          <w:b/>
          <w:bCs/>
        </w:rPr>
        <w:t xml:space="preserve">Implementace: </w:t>
      </w:r>
      <w:r>
        <w:t xml:space="preserve">při vytvoření rezervace rezervační modul vygeneruje SPD řetězec a z něj QR kód (PHP knihovna pro QR kódy). QR kód i platební údaje se vloží do PDF platebního pokynu (proforma) a do těla e-mailu.</w:t>
      </w:r>
    </w:p>
    <w:p>
      <w:pPr>
        <w:pStyle w:val="Heading2"/>
        <w:spacing w:after="120" w:before="300"/>
      </w:pPr>
      <w:r>
        <w:t xml:space="preserve">5.2 Obsah platebního pokynu (proformy)</w:t>
      </w:r>
    </w:p>
    <w:p>
      <w:pPr>
        <w:pStyle w:val="ListParagraph"/>
        <w:numPr>
          <w:ilvl w:val="0"/>
          <w:numId w:val="1"/>
        </w:numPr>
        <w:spacing w:after="80" w:line="280"/>
      </w:pPr>
      <w:r>
        <w:t xml:space="preserve">Hlavička: jméno a IČ Hanky Vildomcové (bez DIČ, pokud není plátce DPH – otevřená otázka 5), logo webu</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Odkaz „stáhnout jako PDF“ (viz 5.4)</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Shrnutí rezervace, platební údaje a QR kód přímo v těle e-mailu (jako obrázek).</w:t>
      </w:r>
    </w:p>
    <w:p>
      <w:pPr>
        <w:pStyle w:val="ListParagraph"/>
        <w:numPr>
          <w:ilvl w:val="0"/>
          <w:numId w:val="1"/>
        </w:numPr>
        <w:spacing w:after="80" w:line="280"/>
      </w:pPr>
      <w:r>
        <w:t xml:space="preserve">Odkaz na stažení PDF proformy – jedinečná, netriviálně uhodnutelná URL (token vázaný na rezervaci), platná i po expiraci pro archivaci zákazníkem.</w:t>
      </w:r>
    </w:p>
    <w:p>
      <w:pPr>
        <w:pStyle w:val="ListParagraph"/>
        <w:numPr>
          <w:ilvl w:val="0"/>
          <w:numId w:val="1"/>
        </w:numPr>
        <w:spacing w:after="80" w:line="280"/>
      </w:pPr>
      <w:r>
        <w:t xml:space="preserve">PDF může být zároveň přiloženo k e-mailu; odkaz slouží pro pozdější opětovné stažení.</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a avízo se označí jako zpracované.</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podle hlaviček e-mailu hostovaná u WebSupport (skupina Active24) – přístupové údaje IMAP (server, port 993, SSL) je potřeba ověřit v administraci hostingu (otevřená otázka 8).</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rezervačního modulu seznam nespárovaných avíz s možností ručně přiřadit platbu k rezervaci.</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Kdy se provádí kontrola rezervací po splatnosti (kap. 7.2b). Výchozí: 1× denně v nastavený čas a navíc při každém běhu u rezervací s krátkou splatností.</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port (993), šifrování, uživatel, aplikační heslo – uloženo v wp-config.php nebo šifrovaně v DB.</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volá v pevném kroku (např. každých 15 min) zabezpečený spouštěcí skript (PHP CLI mimo veřejnou URL, nebo HTTPS URL s tajným tokenem). Modul sám podle režimu a intervalu rozhodne, zda je čas na kontrolu – změna intervalu se provádí jen v administraci.</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Předpoklad k ověření: IMAP z PHP na Active24 (php-imap nebo čistě PHP knihovna, např. Webklex/php-imap) a odchozí spojení na port 993 – otevřená otázka 8.</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před začátkem termínu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Ve verzi 0.3.3 tento přechod (a přechod rezervace na poslední chvíli do „Platba na místě“) spouští hodinový plánovač WordPressu; od E5 ho obsluhuje i CRON Active24.</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Částečně: připomínka po splatnosti (stav Po splatnosti) zavedena ve v2.0; připomínka před koncem splatnosti 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Otevřená</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odkaz na PDF funguje i po několika dnech.</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w:t>
            </w:r>
          </w:p>
        </w:tc>
        <w:tc>
          <w:tcPr>
            <w:tcW w:type="dxa" w:w="2200"/>
            <w:tcMar>
              <w:top w:type="dxa" w:w="80"/>
              <w:left w:type="dxa" w:w="100"/>
              <w:bottom w:type="dxa" w:w="80"/>
              <w:right w:type="dxa" w:w="100"/>
            </w:tcMar>
          </w:tcPr>
          <w:p>
            <w:r>
              <w:rPr>
                <w:b w:val="false"/>
                <w:bCs w:val="false"/>
              </w:rPr>
              <w:t xml:space="preserve">Hotovo, k nasazení</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QR platba (SPD), PDF platebního pokynu, načtení QR kódu kamerou při odbavení</w:t>
            </w:r>
          </w:p>
        </w:tc>
        <w:tc>
          <w:tcPr>
            <w:tcW w:type="dxa" w:w="2200"/>
            <w:tcMar>
              <w:top w:type="dxa" w:w="80"/>
              <w:left w:type="dxa" w:w="100"/>
              <w:bottom w:type="dxa" w:w="80"/>
              <w:right w:type="dxa" w:w="100"/>
            </w:tcMar>
          </w:tcPr>
          <w:p>
            <w:r>
              <w:rPr>
                <w:b w:val="false"/>
                <w:bCs w:val="false"/>
              </w:rPr>
              <w:t xml:space="preserve">Připraveno k vývoji – účet RB znám (k potvrzení, otázka 16)</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Kontrola plateb z avíz Raiffeisenbank (CRON Active24)</w:t>
            </w:r>
          </w:p>
        </w:tc>
        <w:tc>
          <w:tcPr>
            <w:tcW w:type="dxa" w:w="2200"/>
            <w:tcMar>
              <w:top w:type="dxa" w:w="80"/>
              <w:left w:type="dxa" w:w="100"/>
              <w:bottom w:type="dxa" w:w="80"/>
              <w:right w:type="dxa" w:w="100"/>
            </w:tcMar>
          </w:tcPr>
          <w:p>
            <w:r>
              <w:rPr>
                <w:b w:val="false"/>
                <w:bCs w:val="false"/>
              </w:rPr>
              <w:t xml:space="preserve">Připraveno k vývoji – vzorek avíza dodán; ověřit IMAP a CRON hostingu</w:t>
            </w:r>
          </w:p>
        </w:tc>
      </w:tr>
      <w:tr>
        <w:tc>
          <w:tcPr>
            <w:tcW w:type="dxa" w:w="1100"/>
            <w:tcMar>
              <w:top w:type="dxa" w:w="80"/>
              <w:left w:type="dxa" w:w="100"/>
              <w:bottom w:type="dxa" w:w="80"/>
              <w:right w:type="dxa" w:w="100"/>
            </w:tcMar>
          </w:tcPr>
          <w:p>
            <w:r>
              <w:rPr>
                <w:b w:val="false"/>
                <w:bCs w:val="false"/>
              </w:rPr>
              <w:t xml:space="preserve">E6</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Expirace, Ultimate Member, MailerLite</w:t>
            </w:r>
          </w:p>
        </w:tc>
        <w:tc>
          <w:tcPr>
            <w:tcW w:type="dxa" w:w="2200"/>
            <w:tcMar>
              <w:top w:type="dxa" w:w="80"/>
              <w:left w:type="dxa" w:w="100"/>
              <w:bottom w:type="dxa" w:w="80"/>
              <w:right w:type="dxa" w:w="100"/>
            </w:tcMar>
          </w:tcPr>
          <w:p>
            <w:r>
              <w:rPr>
                <w:b w:val="false"/>
                <w:bCs w:val="false"/>
              </w:rPr>
              <w:t xml:space="preserve">Plánováno</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(dle avíza): Raiffeisenbank 8032378004/5500, IBAN CZ4655000000008032378004 – zatím nezadán v nastavení.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