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Raiffeisenbank (výhradně ve WordPressu) a správu stavu úhrady</w:t>
      </w:r>
    </w:p>
    <w:p>
      <w:pPr>
        <w:spacing w:before="800"/>
        <w:jc w:val="center"/>
      </w:pPr>
      <w:r>
        <w:rPr>
          <w:color w:val="666666"/>
          <w:sz w:val="20"/>
          <w:szCs w:val="20"/>
        </w:rPr>
        <w:t xml:space="preserve">Verze 2.2 · 22. října 2026 · plugin ReserveAndPay 0.3.4</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200"/>
      </w:tblGrid>
      <w:tr>
        <w:tc>
          <w:tcPr>
            <w:tcW w:type="dxa" w:w="1700"/>
            <w:shd w:fill="AE9333" w:val="clear"/>
            <w:tcMar>
              <w:top w:type="dxa" w:w="80"/>
              <w:left w:type="dxa" w:w="100"/>
              <w:bottom w:type="dxa" w:w="80"/>
              <w:right w:type="dxa" w:w="100"/>
            </w:tcMar>
          </w:tcPr>
          <w:p>
            <w:r>
              <w:rPr>
                <w:b/>
                <w:bCs/>
                <w:color w:val="FFFFFF"/>
              </w:rPr>
              <w:t xml:space="preserve">Verze dokumentu</w:t>
            </w:r>
          </w:p>
        </w:tc>
        <w:tc>
          <w:tcPr>
            <w:tcW w:type="dxa" w:w="1500"/>
            <w:shd w:fill="AE9333" w:val="clear"/>
            <w:tcMar>
              <w:top w:type="dxa" w:w="80"/>
              <w:left w:type="dxa" w:w="100"/>
              <w:bottom w:type="dxa" w:w="80"/>
              <w:right w:type="dxa" w:w="100"/>
            </w:tcMar>
          </w:tcPr>
          <w:p>
            <w:r>
              <w:rPr>
                <w:b/>
                <w:bCs/>
                <w:color w:val="FFFFFF"/>
              </w:rPr>
              <w:t xml:space="preserve">Verze pluginu</w:t>
            </w:r>
          </w:p>
        </w:tc>
        <w:tc>
          <w:tcPr>
            <w:tcW w:type="dxa" w:w="6200"/>
            <w:shd w:fill="AE9333" w:val="clear"/>
            <w:tcMar>
              <w:top w:type="dxa" w:w="80"/>
              <w:left w:type="dxa" w:w="100"/>
              <w:bottom w:type="dxa" w:w="80"/>
              <w:right w:type="dxa" w:w="100"/>
            </w:tcMar>
          </w:tcPr>
          <w:p>
            <w:r>
              <w:rPr>
                <w:b/>
                <w:bCs/>
                <w:color w:val="FFFFFF"/>
              </w:rPr>
              <w:t xml:space="preserve">Změny</w:t>
            </w:r>
          </w:p>
        </w:tc>
      </w:tr>
      <w:tr>
        <w:tc>
          <w:tcPr>
            <w:tcW w:type="dxa" w:w="1700"/>
            <w:tcMar>
              <w:top w:type="dxa" w:w="80"/>
              <w:left w:type="dxa" w:w="100"/>
              <w:bottom w:type="dxa" w:w="80"/>
              <w:right w:type="dxa" w:w="100"/>
            </w:tcMar>
          </w:tcPr>
          <w:p>
            <w:r>
              <w:rPr>
                <w:b w:val="false"/>
                <w:bCs w:val="false"/>
              </w:rPr>
              <w:t xml:space="preserve">1.0 · 28. 8.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První verze analytického zadání.</w:t>
            </w:r>
          </w:p>
        </w:tc>
      </w:tr>
      <w:tr>
        <w:tc>
          <w:tcPr>
            <w:tcW w:type="dxa" w:w="1700"/>
            <w:tcMar>
              <w:top w:type="dxa" w:w="80"/>
              <w:left w:type="dxa" w:w="100"/>
              <w:bottom w:type="dxa" w:w="80"/>
              <w:right w:type="dxa" w:w="100"/>
            </w:tcMar>
          </w:tcPr>
          <w:p>
            <w:r>
              <w:rPr>
                <w:b w:val="false"/>
                <w:bCs w:val="false"/>
              </w:rPr>
              <w:t xml:space="preserve">1.1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1700"/>
            <w:tcMar>
              <w:top w:type="dxa" w:w="80"/>
              <w:left w:type="dxa" w:w="100"/>
              <w:bottom w:type="dxa" w:w="80"/>
              <w:right w:type="dxa" w:w="100"/>
            </w:tcMar>
          </w:tcPr>
          <w:p>
            <w:r>
              <w:rPr>
                <w:b w:val="false"/>
                <w:bCs w:val="false"/>
              </w:rPr>
              <w:t xml:space="preserve">1.2 · 20.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1700"/>
            <w:tcMar>
              <w:top w:type="dxa" w:w="80"/>
              <w:left w:type="dxa" w:w="100"/>
              <w:bottom w:type="dxa" w:w="80"/>
              <w:right w:type="dxa" w:w="100"/>
            </w:tcMar>
          </w:tcPr>
          <w:p>
            <w:r>
              <w:rPr>
                <w:b w:val="false"/>
                <w:bCs w:val="false"/>
              </w:rPr>
              <w:t xml:space="preserve">1.3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1700"/>
            <w:tcMar>
              <w:top w:type="dxa" w:w="80"/>
              <w:left w:type="dxa" w:w="100"/>
              <w:bottom w:type="dxa" w:w="80"/>
              <w:right w:type="dxa" w:w="100"/>
            </w:tcMar>
          </w:tcPr>
          <w:p>
            <w:r>
              <w:rPr>
                <w:b w:val="false"/>
                <w:bCs w:val="false"/>
              </w:rPr>
              <w:t xml:space="preserve">1.4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1700"/>
            <w:tcMar>
              <w:top w:type="dxa" w:w="80"/>
              <w:left w:type="dxa" w:w="100"/>
              <w:bottom w:type="dxa" w:w="80"/>
              <w:right w:type="dxa" w:w="100"/>
            </w:tcMar>
          </w:tcPr>
          <w:p>
            <w:r>
              <w:rPr>
                <w:b w:val="false"/>
                <w:bCs w:val="false"/>
              </w:rPr>
              <w:t xml:space="preserve">1.5 · 21. 10. 2026</w:t>
            </w:r>
          </w:p>
        </w:tc>
        <w:tc>
          <w:tcPr>
            <w:tcW w:type="dxa" w:w="1500"/>
            <w:tcMar>
              <w:top w:type="dxa" w:w="80"/>
              <w:left w:type="dxa" w:w="100"/>
              <w:bottom w:type="dxa" w:w="80"/>
              <w:right w:type="dxa" w:w="100"/>
            </w:tcMar>
          </w:tcPr>
          <w:p>
            <w:r>
              <w:rPr>
                <w:b w:val="false"/>
                <w:bCs w:val="false"/>
              </w:rPr>
              <w:t xml:space="preserve">— (před vývojem)</w:t>
            </w:r>
          </w:p>
        </w:tc>
        <w:tc>
          <w:tcPr>
            <w:tcW w:type="dxa" w:w="62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1700"/>
            <w:tcMar>
              <w:top w:type="dxa" w:w="80"/>
              <w:left w:type="dxa" w:w="100"/>
              <w:bottom w:type="dxa" w:w="80"/>
              <w:right w:type="dxa" w:w="100"/>
            </w:tcMar>
          </w:tcPr>
          <w:p>
            <w:r>
              <w:rPr>
                <w:b w:val="false"/>
                <w:bCs w:val="false"/>
              </w:rPr>
              <w:t xml:space="preserve">1.6 · 21. 10. 2026</w:t>
            </w:r>
          </w:p>
        </w:tc>
        <w:tc>
          <w:tcPr>
            <w:tcW w:type="dxa" w:w="1500"/>
            <w:tcMar>
              <w:top w:type="dxa" w:w="80"/>
              <w:left w:type="dxa" w:w="100"/>
              <w:bottom w:type="dxa" w:w="80"/>
              <w:right w:type="dxa" w:w="100"/>
            </w:tcMar>
          </w:tcPr>
          <w:p>
            <w:r>
              <w:rPr>
                <w:b w:val="false"/>
                <w:bCs w:val="false"/>
              </w:rPr>
              <w:t xml:space="preserve">0.1.1</w:t>
            </w:r>
          </w:p>
        </w:tc>
        <w:tc>
          <w:tcPr>
            <w:tcW w:type="dxa" w:w="62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1700"/>
            <w:tcMar>
              <w:top w:type="dxa" w:w="80"/>
              <w:left w:type="dxa" w:w="100"/>
              <w:bottom w:type="dxa" w:w="80"/>
              <w:right w:type="dxa" w:w="100"/>
            </w:tcMar>
          </w:tcPr>
          <w:p>
            <w:r>
              <w:rPr>
                <w:b w:val="false"/>
                <w:bCs w:val="false"/>
              </w:rPr>
              <w:t xml:space="preserve">1.7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1700"/>
            <w:tcMar>
              <w:top w:type="dxa" w:w="80"/>
              <w:left w:type="dxa" w:w="100"/>
              <w:bottom w:type="dxa" w:w="80"/>
              <w:right w:type="dxa" w:w="100"/>
            </w:tcMar>
          </w:tcPr>
          <w:p>
            <w:r>
              <w:rPr>
                <w:b w:val="false"/>
                <w:bCs w:val="false"/>
              </w:rPr>
              <w:t xml:space="preserve">1.8 · 21. 10. 2026</w:t>
            </w:r>
          </w:p>
        </w:tc>
        <w:tc>
          <w:tcPr>
            <w:tcW w:type="dxa" w:w="1500"/>
            <w:tcMar>
              <w:top w:type="dxa" w:w="80"/>
              <w:left w:type="dxa" w:w="100"/>
              <w:bottom w:type="dxa" w:w="80"/>
              <w:right w:type="dxa" w:w="100"/>
            </w:tcMar>
          </w:tcPr>
          <w:p>
            <w:r>
              <w:rPr>
                <w:b w:val="false"/>
                <w:bCs w:val="false"/>
              </w:rPr>
              <w:t xml:space="preserve">0.3.1</w:t>
            </w:r>
          </w:p>
        </w:tc>
        <w:tc>
          <w:tcPr>
            <w:tcW w:type="dxa" w:w="62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r>
        <w:tc>
          <w:tcPr>
            <w:tcW w:type="dxa" w:w="1700"/>
            <w:tcMar>
              <w:top w:type="dxa" w:w="80"/>
              <w:left w:type="dxa" w:w="100"/>
              <w:bottom w:type="dxa" w:w="80"/>
              <w:right w:type="dxa" w:w="100"/>
            </w:tcMar>
          </w:tcPr>
          <w:p>
            <w:r>
              <w:rPr>
                <w:b w:val="false"/>
                <w:bCs w:val="false"/>
              </w:rPr>
              <w:t xml:space="preserve">1.9 · 22. 10. 2026</w:t>
            </w:r>
          </w:p>
        </w:tc>
        <w:tc>
          <w:tcPr>
            <w:tcW w:type="dxa" w:w="1500"/>
            <w:tcMar>
              <w:top w:type="dxa" w:w="80"/>
              <w:left w:type="dxa" w:w="100"/>
              <w:bottom w:type="dxa" w:w="80"/>
              <w:right w:type="dxa" w:w="100"/>
            </w:tcMar>
          </w:tcPr>
          <w:p>
            <w:r>
              <w:rPr>
                <w:b w:val="false"/>
                <w:bCs w:val="false"/>
              </w:rPr>
              <w:t xml:space="preserve">0.3.2</w:t>
            </w:r>
          </w:p>
        </w:tc>
        <w:tc>
          <w:tcPr>
            <w:tcW w:type="dxa" w:w="6200"/>
            <w:tcMar>
              <w:top w:type="dxa" w:w="80"/>
              <w:left w:type="dxa" w:w="100"/>
              <w:bottom w:type="dxa" w:w="80"/>
              <w:right w:type="dxa" w:w="100"/>
            </w:tcMar>
          </w:tcPr>
          <w:p>
            <w:r>
              <w:rPr>
                <w:b w:val="false"/>
                <w:bCs w:val="false"/>
              </w:rPr>
              <w:t xml:space="preserve">Sada změn 9: služba má nastavitelný počet míst na termín (výchozí 1). Masáž = 1 místo, skupinová lekce (např. Sound Healing) = více míst, termín zůstává volný až do zaplnění. Pravidelné skupinové lekce se tak vypisují generátorem místo opakovaných akcí. Změnu počtu míst lze volitelně promítnout do nadcházejících termínů. Upraveny kap. 1, 3.1, 3.2, 3.4, 4, 10, 12, 13 a 15 (plugin 0.3.2).</w:t>
            </w:r>
          </w:p>
        </w:tc>
      </w:tr>
      <w:tr>
        <w:tc>
          <w:tcPr>
            <w:tcW w:type="dxa" w:w="1700"/>
            <w:tcMar>
              <w:top w:type="dxa" w:w="80"/>
              <w:left w:type="dxa" w:w="100"/>
              <w:bottom w:type="dxa" w:w="80"/>
              <w:right w:type="dxa" w:w="100"/>
            </w:tcMar>
          </w:tcPr>
          <w:p>
            <w:r>
              <w:rPr>
                <w:b w:val="false"/>
                <w:bCs w:val="false"/>
              </w:rPr>
              <w:t xml:space="preserve">2.0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Sada změn 10: pravidla splatnosti – počet dní od rezervace, vůči termínu (−1 den před, 0 v den termínu, +1 den po termínu) nebo kombinace, s přepsáním u akce a služby; nový stav „Po splatnosti“ s připomínkou pro splatnost v den termínu nebo po něm; platba v hotovosti jako volitelná doplňková možnost (převod s QR kódem zůstává primární a QR kód chodí i při volbě hotovosti); odbavení na místě podle VS, v E4 i načtením QR kódu. Nové kap. 3.7 a 4.7, upraveny kap. 1, 3.2, 3.4, 3.6, 4, 5.2, 7, 8, 10, 12, 13 a 15 (plugin 0.3.3).</w:t>
            </w:r>
          </w:p>
        </w:tc>
      </w:tr>
      <w:tr>
        <w:tc>
          <w:tcPr>
            <w:tcW w:type="dxa" w:w="1700"/>
            <w:tcMar>
              <w:top w:type="dxa" w:w="80"/>
              <w:left w:type="dxa" w:w="100"/>
              <w:bottom w:type="dxa" w:w="80"/>
              <w:right w:type="dxa" w:w="100"/>
            </w:tcMar>
          </w:tcPr>
          <w:p>
            <w:r>
              <w:rPr>
                <w:b w:val="false"/>
                <w:bCs w:val="false"/>
              </w:rPr>
              <w:t xml:space="preserve">2.1 · 22. 10. 2026</w:t>
            </w:r>
          </w:p>
        </w:tc>
        <w:tc>
          <w:tcPr>
            <w:tcW w:type="dxa" w:w="1500"/>
            <w:tcMar>
              <w:top w:type="dxa" w:w="80"/>
              <w:left w:type="dxa" w:w="100"/>
              <w:bottom w:type="dxa" w:w="80"/>
              <w:right w:type="dxa" w:w="100"/>
            </w:tcMar>
          </w:tcPr>
          <w:p>
            <w:r>
              <w:rPr>
                <w:b w:val="false"/>
                <w:bCs w:val="false"/>
              </w:rPr>
              <w:t xml:space="preserve">0.3.3</w:t>
            </w:r>
          </w:p>
        </w:tc>
        <w:tc>
          <w:tcPr>
            <w:tcW w:type="dxa" w:w="6200"/>
            <w:tcMar>
              <w:top w:type="dxa" w:w="80"/>
              <w:left w:type="dxa" w:w="100"/>
              <w:bottom w:type="dxa" w:w="80"/>
              <w:right w:type="dxa" w:w="100"/>
            </w:tcMar>
          </w:tcPr>
          <w:p>
            <w:r>
              <w:rPr>
                <w:b w:val="false"/>
                <w:bCs w:val="false"/>
              </w:rPr>
              <w:t xml:space="preserve">Na titulní straně a v historii verzí se uvádí verze pluginu, ke které byla dokumentace vydána (zpětně doplněno i pro starší verze). Na titulní straně opraven název banky (Raiffeisenbank). Obsah zadání beze změny.</w:t>
            </w:r>
          </w:p>
        </w:tc>
      </w:tr>
      <w:tr>
        <w:tc>
          <w:tcPr>
            <w:tcW w:type="dxa" w:w="1700"/>
            <w:tcMar>
              <w:top w:type="dxa" w:w="80"/>
              <w:left w:type="dxa" w:w="100"/>
              <w:bottom w:type="dxa" w:w="80"/>
              <w:right w:type="dxa" w:w="100"/>
            </w:tcMar>
          </w:tcPr>
          <w:p>
            <w:r>
              <w:rPr>
                <w:b w:val="false"/>
                <w:bCs w:val="false"/>
              </w:rPr>
              <w:t xml:space="preserve">2.2 · 22. 10. 2026</w:t>
            </w:r>
          </w:p>
        </w:tc>
        <w:tc>
          <w:tcPr>
            <w:tcW w:type="dxa" w:w="1500"/>
            <w:tcMar>
              <w:top w:type="dxa" w:w="80"/>
              <w:left w:type="dxa" w:w="100"/>
              <w:bottom w:type="dxa" w:w="80"/>
              <w:right w:type="dxa" w:w="100"/>
            </w:tcMar>
          </w:tcPr>
          <w:p>
            <w:r>
              <w:rPr>
                <w:b w:val="false"/>
                <w:bCs w:val="false"/>
              </w:rPr>
              <w:t xml:space="preserve">0.3.4</w:t>
            </w:r>
          </w:p>
        </w:tc>
        <w:tc>
          <w:tcPr>
            <w:tcW w:type="dxa" w:w="6200"/>
            <w:tcMar>
              <w:top w:type="dxa" w:w="80"/>
              <w:left w:type="dxa" w:w="100"/>
              <w:bottom w:type="dxa" w:w="80"/>
              <w:right w:type="dxa" w:w="100"/>
            </w:tcMar>
          </w:tcPr>
          <w:p>
            <w:r>
              <w:rPr>
                <w:b w:val="false"/>
                <w:bCs w:val="false"/>
              </w:rPr>
              <w:t xml:space="preserve">Sada změn 11: jednoznačné čitelné kódy akcí (AK-RRRR-NNNN), služeb (SL-NNN) a termínů služeb (TE-RRRR-NNNN) – přidělení při prvním uložení, neměnné, nikdy znovu nepoužité, předpony a počet číslic v nastavení. Nová kap. 3.8, upraveny kap. 1, 3.2, 4, 5, 8, 13 a 15.</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Služby s termíny (masáže, skupinové lekce)</w:t>
            </w:r>
          </w:p>
        </w:tc>
        <w:tc>
          <w:tcPr>
            <w:tcW w:type="dxa" w:w="6800"/>
            <w:tcMar>
              <w:top w:type="dxa" w:w="80"/>
              <w:left w:type="dxa" w:w="100"/>
              <w:bottom w:type="dxa" w:w="80"/>
              <w:right w:type="dxa" w:w="100"/>
            </w:tcMar>
          </w:tcPr>
          <w:p>
            <w:r>
              <w:rPr>
                <w:b w:val="false"/>
                <w:bCs w:val="false"/>
              </w:rPr>
              <w:t xml:space="preserve">Hanka vypisuje termíny služby hromadně generátorem. Délka termínu a počet míst jsou pevné (zákazník je nevolí), ale jde o nastavitelné parametry služby: masáž 60 min a 1 místo, Sound Healing např. 15 míst.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Nastavitelné pravidlo: počet dní od rezervace, vůči termínu (−1 = den před, 0 = v den termínu, +1 = den po termínu) nebo kombinace (dřívější z obou). Výchozí pravidlo v nastavení, přepsání u akce i služby.</w:t>
            </w:r>
          </w:p>
        </w:tc>
      </w:tr>
      <w:tr>
        <w:tc>
          <w:tcPr>
            <w:tcW w:type="dxa" w:w="2600"/>
            <w:tcMar>
              <w:top w:type="dxa" w:w="80"/>
              <w:left w:type="dxa" w:w="100"/>
              <w:bottom w:type="dxa" w:w="80"/>
              <w:right w:type="dxa" w:w="100"/>
            </w:tcMar>
          </w:tcPr>
          <w:p>
            <w:r>
              <w:rPr>
                <w:b w:val="false"/>
                <w:bCs w:val="false"/>
              </w:rPr>
              <w:t xml:space="preserve">Způsob platby</w:t>
            </w:r>
          </w:p>
        </w:tc>
        <w:tc>
          <w:tcPr>
            <w:tcW w:type="dxa" w:w="6800"/>
            <w:tcMar>
              <w:top w:type="dxa" w:w="80"/>
              <w:left w:type="dxa" w:w="100"/>
              <w:bottom w:type="dxa" w:w="80"/>
              <w:right w:type="dxa" w:w="100"/>
            </w:tcMar>
          </w:tcPr>
          <w:p>
            <w:r>
              <w:rPr>
                <w:b w:val="false"/>
                <w:bCs w:val="false"/>
              </w:rPr>
              <w:t xml:space="preserve">Primárně bankovní převod s QR kódem. Hotovost na místě je volitelná doplňková možnost (zapíná se v nastavení, u akce nebo služby, bez dalších omezení). I při volbě hotovosti dostane zákazník QR kód pro případnou platbu předem.</w:t>
            </w:r>
          </w:p>
        </w:tc>
      </w:tr>
      <w:tr>
        <w:tc>
          <w:tcPr>
            <w:tcW w:type="dxa" w:w="2600"/>
            <w:tcMar>
              <w:top w:type="dxa" w:w="80"/>
              <w:left w:type="dxa" w:w="100"/>
              <w:bottom w:type="dxa" w:w="80"/>
              <w:right w:type="dxa" w:w="100"/>
            </w:tcMar>
          </w:tcPr>
          <w:p>
            <w:r>
              <w:rPr>
                <w:b w:val="false"/>
                <w:bCs w:val="false"/>
              </w:rPr>
              <w:t xml:space="preserve">Identifikace akcí</w:t>
            </w:r>
          </w:p>
        </w:tc>
        <w:tc>
          <w:tcPr>
            <w:tcW w:type="dxa" w:w="6800"/>
            <w:tcMar>
              <w:top w:type="dxa" w:w="80"/>
              <w:left w:type="dxa" w:w="100"/>
              <w:bottom w:type="dxa" w:w="80"/>
              <w:right w:type="dxa" w:w="100"/>
            </w:tcMar>
          </w:tcPr>
          <w:p>
            <w:r>
              <w:rPr>
                <w:b w:val="false"/>
                <w:bCs w:val="false"/>
              </w:rPr>
              <w:t xml:space="preserve">Každá akce, služba i termín služby má jednoznačný čitelný kód (AK-2026-0012, SL-003, TE-2026-0145). Kód je neměnný a nikdy se nepoužije znovu; identifikuje akci, VS dál identifikuje konkrétní rezervaci a platbu (kap. 3.8).</w:t>
            </w:r>
          </w:p>
        </w:tc>
      </w:tr>
      <w:tr>
        <w:tc>
          <w:tcPr>
            <w:tcW w:type="dxa" w:w="2600"/>
            <w:tcMar>
              <w:top w:type="dxa" w:w="80"/>
              <w:left w:type="dxa" w:w="100"/>
              <w:bottom w:type="dxa" w:w="80"/>
              <w:right w:type="dxa" w:w="100"/>
            </w:tcMar>
          </w:tcPr>
          <w:p>
            <w:r>
              <w:rPr>
                <w:b w:val="false"/>
                <w:bCs w:val="false"/>
              </w:rPr>
              <w:t xml:space="preserve">Odbavení na místě</w:t>
            </w:r>
          </w:p>
        </w:tc>
        <w:tc>
          <w:tcPr>
            <w:tcW w:type="dxa" w:w="6800"/>
            <w:tcMar>
              <w:top w:type="dxa" w:w="80"/>
              <w:left w:type="dxa" w:w="100"/>
              <w:bottom w:type="dxa" w:w="80"/>
              <w:right w:type="dxa" w:w="100"/>
            </w:tcMar>
          </w:tcPr>
          <w:p>
            <w:r>
              <w:rPr>
                <w:b w:val="false"/>
                <w:bCs w:val="false"/>
              </w:rPr>
              <w:t xml:space="preserve">Hanka na lekci vyhledá rezervaci podle VS z potvrzovacího e-mailu (v E4 i načtením QR kódu) a označí platbu hotově nebo převodem. Příjmový doklad se nevystavuje.</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Termín služby</w:t>
            </w:r>
          </w:p>
        </w:tc>
        <w:tc>
          <w:tcPr>
            <w:tcW w:type="dxa" w:w="3200"/>
            <w:tcMar>
              <w:top w:type="dxa" w:w="80"/>
              <w:left w:type="dxa" w:w="100"/>
              <w:bottom w:type="dxa" w:w="80"/>
              <w:right w:type="dxa" w:w="100"/>
            </w:tcMar>
          </w:tcPr>
          <w:p>
            <w:r>
              <w:rPr>
                <w:b w:val="false"/>
                <w:bCs w:val="false"/>
              </w:rPr>
              <w:t xml:space="preserve">Bukální masáž, 60 min (1 místo); Sound Healing (15 míst)</w:t>
            </w:r>
          </w:p>
        </w:tc>
        <w:tc>
          <w:tcPr>
            <w:tcW w:type="dxa" w:w="3800"/>
            <w:tcMar>
              <w:top w:type="dxa" w:w="80"/>
              <w:left w:type="dxa" w:w="100"/>
              <w:bottom w:type="dxa" w:w="80"/>
              <w:right w:type="dxa" w:w="100"/>
            </w:tcMar>
          </w:tcPr>
          <w:p>
            <w:r>
              <w:rPr>
                <w:b w:val="false"/>
                <w:bCs w:val="false"/>
              </w:rPr>
              <w:t xml:space="preserve">Akce s počtem míst podle služby, vzniká generátorem termínů ze služby (kap. 3.4)</w:t>
            </w:r>
          </w:p>
        </w:tc>
      </w:tr>
      <w:tr>
        <w:tc>
          <w:tcPr>
            <w:tcW w:type="dxa" w:w="2400"/>
            <w:tcMar>
              <w:top w:type="dxa" w:w="80"/>
              <w:left w:type="dxa" w:w="100"/>
              <w:bottom w:type="dxa" w:w="80"/>
              <w:right w:type="dxa" w:w="100"/>
            </w:tcMar>
          </w:tcPr>
          <w:p>
            <w:r>
              <w:rPr>
                <w:b w:val="false"/>
                <w:bCs w:val="false"/>
              </w:rPr>
              <w:t xml:space="preserve">Pravidelná skupinová lekce</w:t>
            </w:r>
          </w:p>
        </w:tc>
        <w:tc>
          <w:tcPr>
            <w:tcW w:type="dxa" w:w="3200"/>
            <w:tcMar>
              <w:top w:type="dxa" w:w="80"/>
              <w:left w:type="dxa" w:w="100"/>
              <w:bottom w:type="dxa" w:w="80"/>
              <w:right w:type="dxa" w:w="100"/>
            </w:tcMar>
          </w:tcPr>
          <w:p>
            <w:r>
              <w:rPr>
                <w:b w:val="false"/>
                <w:bCs w:val="false"/>
              </w:rPr>
              <w:t xml:space="preserve">Lekce každé úterý 18:00–19:30</w:t>
            </w:r>
          </w:p>
        </w:tc>
        <w:tc>
          <w:tcPr>
            <w:tcW w:type="dxa" w:w="3800"/>
            <w:tcMar>
              <w:top w:type="dxa" w:w="80"/>
              <w:left w:type="dxa" w:w="100"/>
              <w:bottom w:type="dxa" w:w="80"/>
              <w:right w:type="dxa" w:w="100"/>
            </w:tcMar>
          </w:tcPr>
          <w:p>
            <w:r>
              <w:rPr>
                <w:b w:val="false"/>
                <w:bCs w:val="false"/>
              </w:rPr>
              <w:t xml:space="preserve">Řeší se jako služba s počtem míst &gt; 1 a generátorem termínů (kap. 3.4); každý termín má vlastní kapacitu a rezervace</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čitelný kód akce (AK-2026-0012) nebo termínu služby (TE-2026-0145) – přidělí ho systém, je neměnný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termín služby přebírá počet míst ze služby (masáž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Pravidlo splatnosti</w:t>
            </w:r>
          </w:p>
        </w:tc>
        <w:tc>
          <w:tcPr>
            <w:tcW w:type="dxa" w:w="6800"/>
            <w:tcMar>
              <w:top w:type="dxa" w:w="80"/>
              <w:left w:type="dxa" w:w="100"/>
              <w:bottom w:type="dxa" w:w="80"/>
              <w:right w:type="dxa" w:w="100"/>
            </w:tcMar>
          </w:tcPr>
          <w:p>
            <w:r>
              <w:rPr>
                <w:b w:val="false"/>
                <w:bCs w:val="false"/>
              </w:rPr>
              <w:t xml:space="preserve">Režim (od rezervace / vůči termínu / kombinace) a počet dní; prázdné = výchozí z nastavení (kap. 3.6)</w:t>
            </w:r>
          </w:p>
        </w:tc>
      </w:tr>
      <w:tr>
        <w:tc>
          <w:tcPr>
            <w:tcW w:type="dxa" w:w="2600"/>
            <w:tcMar>
              <w:top w:type="dxa" w:w="80"/>
              <w:left w:type="dxa" w:w="100"/>
              <w:bottom w:type="dxa" w:w="80"/>
              <w:right w:type="dxa" w:w="100"/>
            </w:tcMar>
          </w:tcPr>
          <w:p>
            <w:r>
              <w:rPr>
                <w:b w:val="false"/>
                <w:bCs w:val="false"/>
              </w:rPr>
              <w:t xml:space="preserve">Platba v hotovosti</w:t>
            </w:r>
          </w:p>
        </w:tc>
        <w:tc>
          <w:tcPr>
            <w:tcW w:type="dxa" w:w="6800"/>
            <w:tcMar>
              <w:top w:type="dxa" w:w="80"/>
              <w:left w:type="dxa" w:w="100"/>
              <w:bottom w:type="dxa" w:w="80"/>
              <w:right w:type="dxa" w:w="100"/>
            </w:tcMar>
          </w:tcPr>
          <w:p>
            <w:r>
              <w:rPr>
                <w:b w:val="false"/>
                <w:bCs w:val="false"/>
              </w:rPr>
              <w:t xml:space="preserve">Výchozí z nastavení / povolit / nepovolit (kap. 3.7)</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Služby a jejich termíny (masáže, skupinové lekce)</w:t>
      </w:r>
    </w:p>
    <w:p>
      <w:pPr>
        <w:spacing w:after="140" w:line="300"/>
      </w:pPr>
      <w:r>
        <w:t xml:space="preserve">Masáže, pravidelné skupinové lekce a další služby se nerezervují výpočtem volné dostupnosti, ale jako předem vypsané termíny. Každý termín je akce s počtem míst podle služby – u masáže 1 místo, u skupinové lekce více (např. Sound Healing 15). Rezervace termínu probíhá stejným tokem jako u ostatních akcí: jedna rezervace = jedno místo = vlastní VS.</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Kód</w:t>
            </w:r>
          </w:p>
        </w:tc>
        <w:tc>
          <w:tcPr>
            <w:tcW w:type="dxa" w:w="6800"/>
            <w:tcMar>
              <w:top w:type="dxa" w:w="80"/>
              <w:left w:type="dxa" w:w="100"/>
              <w:bottom w:type="dxa" w:w="80"/>
              <w:right w:type="dxa" w:w="100"/>
            </w:tcMar>
          </w:tcPr>
          <w:p>
            <w:r>
              <w:rPr>
                <w:b w:val="false"/>
                <w:bCs w:val="false"/>
              </w:rPr>
              <w:t xml:space="preserve">Jednoznačný kód služby (SL-003) – přidělí ho systém (kap. 3.8)</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Počet míst na termín</w:t>
            </w:r>
          </w:p>
        </w:tc>
        <w:tc>
          <w:tcPr>
            <w:tcW w:type="dxa" w:w="6800"/>
            <w:tcMar>
              <w:top w:type="dxa" w:w="80"/>
              <w:left w:type="dxa" w:w="100"/>
              <w:bottom w:type="dxa" w:w="80"/>
              <w:right w:type="dxa" w:w="100"/>
            </w:tcMar>
          </w:tcPr>
          <w:p>
            <w:r>
              <w:rPr>
                <w:b w:val="false"/>
                <w:bCs w:val="false"/>
              </w:rPr>
              <w:t xml:space="preserve">Kolik osob se může na jeden termín rezervovat (1–500). Výchozí: 1 = individuální služba (masáž). Více = skupinová lekce (např. Sound Healing 15) – termín zůstává volný, dokud se nezaplní.</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jedno místo</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 a platba</w:t>
            </w:r>
          </w:p>
        </w:tc>
        <w:tc>
          <w:tcPr>
            <w:tcW w:type="dxa" w:w="6800"/>
            <w:tcMar>
              <w:top w:type="dxa" w:w="80"/>
              <w:left w:type="dxa" w:w="100"/>
              <w:bottom w:type="dxa" w:w="80"/>
              <w:right w:type="dxa" w:w="100"/>
            </w:tcMar>
          </w:tcPr>
          <w:p>
            <w:r>
              <w:rPr>
                <w:b w:val="false"/>
                <w:bCs w:val="false"/>
              </w:rPr>
              <w:t xml:space="preserve">Pravidlo splatnosti a povolení hotovosti pro generované termíny (kap. 3.6, 3.7)</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počet míst, cena, místo, kategorie, splatnost) zkopírují do každého termínu. Pozdější změna služby se proto týká jen nově vygenerovaných termínů; již vypsané termíny zůstávají beze změny. Výjimka: změnu počtu míst lze volbou „Změnu promítnout i do nadcházejících termínů“ přenést i do vypsaných termínů – termín, který už má víc rezervací než nový počet míst, se nezmění a administrace ho vypíše. Počet míst lze upravit i u jednotlivého termínu.</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 Změnu počtu míst lze volitelně promítnout i do nadcházejících termínů (viz pozn. výše).</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 U skupinové lekce zůstává termín v nabídce, dokud jsou volná místa.</w:t>
      </w:r>
    </w:p>
    <w:p>
      <w:pPr>
        <w:pStyle w:val="ListParagraph"/>
        <w:numPr>
          <w:ilvl w:val="0"/>
          <w:numId w:val="1"/>
        </w:numPr>
        <w:spacing w:after="80" w:line="280"/>
      </w:pPr>
      <w:r>
        <w:t xml:space="preserve">U služby s více místy ukazuje výběr u každého času počet volných míst („13 volných míst“) a v záhlaví kapacitu („max. 15 osob“); detail termínu ukazuje „Volná místa 13 z 15“. U masáže (1 místo) se počet míst neukazuje.</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(u skupinové služby volná místa nejbližšího termínu, např. „volno 13 z 15“)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Splatnost, rezervace na poslední chvíli a platba na místě</w:t>
      </w:r>
    </w:p>
    <w:p>
      <w:pPr>
        <w:spacing w:after="140" w:line="300"/>
      </w:pPr>
      <w:r>
        <w:t xml:space="preserve">Splatnost se počítá podle pravidla akce (nebo služby, ze které termín vznikl); není-li u akce nastaveno, platí výchozí pravidlo z nastavení. Splatnost se spočítá při rezervaci, uloží se jako konkrétní datum a je vždy do konce dne (23:59).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Režim</w:t>
            </w:r>
          </w:p>
        </w:tc>
        <w:tc>
          <w:tcPr>
            <w:tcW w:type="dxa" w:w="3400"/>
            <w:shd w:fill="AE9333" w:val="clear"/>
            <w:tcMar>
              <w:top w:type="dxa" w:w="80"/>
              <w:left w:type="dxa" w:w="100"/>
              <w:bottom w:type="dxa" w:w="80"/>
              <w:right w:type="dxa" w:w="100"/>
            </w:tcMar>
          </w:tcPr>
          <w:p>
            <w:r>
              <w:rPr>
                <w:b/>
                <w:bCs/>
                <w:color w:val="FFFFFF"/>
              </w:rPr>
              <w:t xml:space="preserve">Výpočet</w:t>
            </w:r>
          </w:p>
        </w:tc>
        <w:tc>
          <w:tcPr>
            <w:tcW w:type="dxa" w:w="3600"/>
            <w:shd w:fill="AE9333" w:val="clear"/>
            <w:tcMar>
              <w:top w:type="dxa" w:w="80"/>
              <w:left w:type="dxa" w:w="100"/>
              <w:bottom w:type="dxa" w:w="80"/>
              <w:right w:type="dxa" w:w="100"/>
            </w:tcMar>
          </w:tcPr>
          <w:p>
            <w:r>
              <w:rPr>
                <w:b/>
                <w:bCs/>
                <w:color w:val="FFFFFF"/>
              </w:rPr>
              <w:t xml:space="preserve">Příklad (lekce 10. 6. 18:00, rezervace 1. 6.)</w:t>
            </w:r>
          </w:p>
        </w:tc>
      </w:tr>
      <w:tr>
        <w:tc>
          <w:tcPr>
            <w:tcW w:type="dxa" w:w="2400"/>
            <w:tcMar>
              <w:top w:type="dxa" w:w="80"/>
              <w:left w:type="dxa" w:w="100"/>
              <w:bottom w:type="dxa" w:w="80"/>
              <w:right w:type="dxa" w:w="100"/>
            </w:tcMar>
          </w:tcPr>
          <w:p>
            <w:r>
              <w:rPr>
                <w:b w:val="false"/>
                <w:bCs w:val="false"/>
              </w:rPr>
              <w:t xml:space="preserve">Od rezervace</w:t>
            </w:r>
          </w:p>
        </w:tc>
        <w:tc>
          <w:tcPr>
            <w:tcW w:type="dxa" w:w="3400"/>
            <w:tcMar>
              <w:top w:type="dxa" w:w="80"/>
              <w:left w:type="dxa" w:w="100"/>
              <w:bottom w:type="dxa" w:w="80"/>
              <w:right w:type="dxa" w:w="100"/>
            </w:tcMar>
          </w:tcPr>
          <w:p>
            <w:r>
              <w:rPr>
                <w:b w:val="false"/>
                <w:bCs w:val="false"/>
              </w:rPr>
              <w:t xml:space="preserve">Den rezervace + N dní, nejpozději začátek termínu</w:t>
            </w:r>
          </w:p>
        </w:tc>
        <w:tc>
          <w:tcPr>
            <w:tcW w:type="dxa" w:w="3600"/>
            <w:tcMar>
              <w:top w:type="dxa" w:w="80"/>
              <w:left w:type="dxa" w:w="100"/>
              <w:bottom w:type="dxa" w:w="80"/>
              <w:right w:type="dxa" w:w="100"/>
            </w:tcMar>
          </w:tcPr>
          <w:p>
            <w:r>
              <w:rPr>
                <w:b w:val="false"/>
                <w:bCs w:val="false"/>
              </w:rPr>
              <w:t xml:space="preserve">N = 7 → 8. 6.; N = 30 → 10. 6. 18:00</w:t>
            </w:r>
          </w:p>
        </w:tc>
      </w:tr>
      <w:tr>
        <w:tc>
          <w:tcPr>
            <w:tcW w:type="dxa" w:w="2400"/>
            <w:tcMar>
              <w:top w:type="dxa" w:w="80"/>
              <w:left w:type="dxa" w:w="100"/>
              <w:bottom w:type="dxa" w:w="80"/>
              <w:right w:type="dxa" w:w="100"/>
            </w:tcMar>
          </w:tcPr>
          <w:p>
            <w:r>
              <w:rPr>
                <w:b w:val="false"/>
                <w:bCs w:val="false"/>
              </w:rPr>
              <w:t xml:space="preserve">Vůči termínu</w:t>
            </w:r>
          </w:p>
        </w:tc>
        <w:tc>
          <w:tcPr>
            <w:tcW w:type="dxa" w:w="3400"/>
            <w:tcMar>
              <w:top w:type="dxa" w:w="80"/>
              <w:left w:type="dxa" w:w="100"/>
              <w:bottom w:type="dxa" w:w="80"/>
              <w:right w:type="dxa" w:w="100"/>
            </w:tcMar>
          </w:tcPr>
          <w:p>
            <w:r>
              <w:rPr>
                <w:b w:val="false"/>
                <w:bCs w:val="false"/>
              </w:rPr>
              <w:t xml:space="preserve">Den termínu + N dní: −1 = den před, 0 = v den termínu, +1 = den po termínu</w:t>
            </w:r>
          </w:p>
        </w:tc>
        <w:tc>
          <w:tcPr>
            <w:tcW w:type="dxa" w:w="3600"/>
            <w:tcMar>
              <w:top w:type="dxa" w:w="80"/>
              <w:left w:type="dxa" w:w="100"/>
              <w:bottom w:type="dxa" w:w="80"/>
              <w:right w:type="dxa" w:w="100"/>
            </w:tcMar>
          </w:tcPr>
          <w:p>
            <w:r>
              <w:rPr>
                <w:b w:val="false"/>
                <w:bCs w:val="false"/>
              </w:rPr>
              <w:t xml:space="preserve">−1 → 9. 6.; 0 → 10. 6.; +1 → 11. 6.</w:t>
            </w:r>
          </w:p>
        </w:tc>
      </w:tr>
      <w:tr>
        <w:tc>
          <w:tcPr>
            <w:tcW w:type="dxa" w:w="2400"/>
            <w:tcMar>
              <w:top w:type="dxa" w:w="80"/>
              <w:left w:type="dxa" w:w="100"/>
              <w:bottom w:type="dxa" w:w="80"/>
              <w:right w:type="dxa" w:w="100"/>
            </w:tcMar>
          </w:tcPr>
          <w:p>
            <w:r>
              <w:rPr>
                <w:b w:val="false"/>
                <w:bCs w:val="false"/>
              </w:rPr>
              <w:t xml:space="preserve">Kombinace</w:t>
            </w:r>
          </w:p>
        </w:tc>
        <w:tc>
          <w:tcPr>
            <w:tcW w:type="dxa" w:w="3400"/>
            <w:tcMar>
              <w:top w:type="dxa" w:w="80"/>
              <w:left w:type="dxa" w:w="100"/>
              <w:bottom w:type="dxa" w:w="80"/>
              <w:right w:type="dxa" w:w="100"/>
            </w:tcMar>
          </w:tcPr>
          <w:p>
            <w:r>
              <w:rPr>
                <w:b w:val="false"/>
                <w:bCs w:val="false"/>
              </w:rPr>
              <w:t xml:space="preserve">Dřívější z obou pravidel</w:t>
            </w:r>
          </w:p>
        </w:tc>
        <w:tc>
          <w:tcPr>
            <w:tcW w:type="dxa" w:w="3600"/>
            <w:tcMar>
              <w:top w:type="dxa" w:w="80"/>
              <w:left w:type="dxa" w:w="100"/>
              <w:bottom w:type="dxa" w:w="80"/>
              <w:right w:type="dxa" w:w="100"/>
            </w:tcMar>
          </w:tcPr>
          <w:p>
            <w:r>
              <w:rPr>
                <w:b w:val="false"/>
                <w:bCs w:val="false"/>
              </w:rPr>
              <w:t xml:space="preserve">7 dní, nejpozději −3 → 7. 6.</w:t>
            </w:r>
          </w:p>
        </w:tc>
      </w:tr>
    </w:tbl>
    <w:p>
      <w:pPr>
        <w:spacing w:after="80"/>
      </w:pPr>
    </w:p>
    <w:p>
      <w:pPr>
        <w:spacing w:after="140" w:line="300"/>
      </w:pPr>
      <w:r>
        <w:t xml:space="preserve">Akci i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Rezervace na poslední chvíli: splatnost by vyšla do začátku termínu a rezervace vzniká méně než X hodin před začátkem (parametr „Hranice pro platbu na místě“, výchozí 24 h), nebo by splatnost už uplynula. Splatnost = začátek termínu, e-mail obsahuje QR kód i informaci, že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Splatnost v den termínu nebo po něm (vůči termínu 0, +1 …): rezervace se nikdy neexpiruje (termín už proběhl). Nedorazí-li platba do splatnosti, přejde do stavu „Po splatnosti“, zákazník dostane jednu připomínku s platebními údaji a Hanka ji vidí v seznamu rezervací. Dorazí-li převod později, spáruje se standardně.</w:t>
      </w:r>
    </w:p>
    <w:p>
      <w:pPr>
        <w:pStyle w:val="ListParagraph"/>
        <w:numPr>
          <w:ilvl w:val="0"/>
          <w:numId w:val="1"/>
        </w:numPr>
        <w:spacing w:after="80" w:line="280"/>
      </w:pPr>
      <w:r>
        <w:t xml:space="preserve">Rezervace se splatností před začátkem termínu se řídí běžnou expirací (kap. 7.2b).</w:t>
      </w:r>
    </w:p>
    <w:p>
      <w:pPr>
        <w:pStyle w:val="ListParagraph"/>
        <w:numPr>
          <w:ilvl w:val="0"/>
          <w:numId w:val="1"/>
        </w:numPr>
        <w:spacing w:after="80" w:line="280"/>
      </w:pPr>
      <w:r>
        <w:t xml:space="preserve">Hanka po přijetí platby na místě označí rezervaci jako zaplacenou (hotově, nebo převodem) – v seznamu rezervací nebo na stránce Odbavení (kap. 4.7).</w:t>
      </w:r>
    </w:p>
    <w:p>
      <w:pPr>
        <w:pStyle w:val="ListParagraph"/>
        <w:numPr>
          <w:ilvl w:val="0"/>
          <w:numId w:val="1"/>
        </w:numPr>
        <w:spacing w:after="80" w:line="280"/>
      </w:pPr>
      <w:r>
        <w:t xml:space="preserve">Změna pravidla u akce, služby nebo v nastavení se týká jen nových rezervací.</w:t>
      </w:r>
    </w:p>
    <w:p>
      <w:pPr>
        <w:pStyle w:val="Heading2"/>
        <w:spacing w:after="120" w:before="300"/>
      </w:pPr>
      <w:r>
        <w:t xml:space="preserve">3.7 Platba v hotovosti (doplňková možnost)</w:t>
      </w:r>
    </w:p>
    <w:p>
      <w:pPr>
        <w:spacing w:after="140" w:line="300"/>
      </w:pPr>
      <w:r>
        <w:t xml:space="preserve">Primární a vždy předvybranou platbou je bankovní převod s QR kódem. Hotovost na místě je doplňková možnost bez dalších omezení – jen se zapíná nebo vypíná.</w:t>
      </w:r>
    </w:p>
    <w:p>
      <w:pPr>
        <w:pStyle w:val="ListParagraph"/>
        <w:numPr>
          <w:ilvl w:val="0"/>
          <w:numId w:val="1"/>
        </w:numPr>
        <w:spacing w:after="80" w:line="280"/>
      </w:pPr>
      <w:r>
        <w:t xml:space="preserve">Zapnutí: výchozí hodnota v nastavení („Povolit platbu v hotovosti na místě“), u akce i služby lze přepsat (výchozí / povolit / nepovolit). Termíny služby převezmou nastavení ze služby.</w:t>
      </w:r>
    </w:p>
    <w:p>
      <w:pPr>
        <w:pStyle w:val="ListParagraph"/>
        <w:numPr>
          <w:ilvl w:val="0"/>
          <w:numId w:val="1"/>
        </w:numPr>
        <w:spacing w:after="80" w:line="280"/>
      </w:pPr>
      <w:r>
        <w:t xml:space="preserve">Formulář: je-li hotovost povolena, zobrazí se volba „Způsob platby“ – „Převodem – QR platba“ (první, předvybraná, s vysvětlením výhody) a „Hotově na místě“.</w:t>
      </w:r>
    </w:p>
    <w:p>
      <w:pPr>
        <w:pStyle w:val="ListParagraph"/>
        <w:numPr>
          <w:ilvl w:val="0"/>
          <w:numId w:val="1"/>
        </w:numPr>
        <w:spacing w:after="80" w:line="280"/>
      </w:pPr>
      <w:r>
        <w:t xml:space="preserve">Rezervace s volbou hotovosti vznikne ve stavu „Platba na místě“ (blokuje místo, neexpiruje) a má vlastní VS jako každá rezervace.</w:t>
      </w:r>
    </w:p>
    <w:p>
      <w:pPr>
        <w:pStyle w:val="ListParagraph"/>
        <w:numPr>
          <w:ilvl w:val="0"/>
          <w:numId w:val="1"/>
        </w:numPr>
        <w:spacing w:after="80" w:line="280"/>
      </w:pPr>
      <w:r>
        <w:t xml:space="preserve">Potvrzovací e-mail u hotovosti má vlastní upravitelnou šablonu: potvrzení rezervace, částka k úhradě na místě a platební údaje s QR kódem pro případ, že se zákazník rozhodne zaplatit předem převodem. Splatnost se v textu neuvádí jako povinnost.</w:t>
      </w:r>
    </w:p>
    <w:p>
      <w:pPr>
        <w:pStyle w:val="ListParagraph"/>
        <w:numPr>
          <w:ilvl w:val="0"/>
          <w:numId w:val="1"/>
        </w:numPr>
        <w:spacing w:after="80" w:line="280"/>
      </w:pPr>
      <w:r>
        <w:t xml:space="preserve">Zaplatí-li zákazník nakonec převodem se správným VS, kontrola plateb rezervaci spáruje a označí „Zaplaceno“ (převodem).</w:t>
      </w:r>
    </w:p>
    <w:p>
      <w:pPr>
        <w:pStyle w:val="ListParagraph"/>
        <w:numPr>
          <w:ilvl w:val="0"/>
          <w:numId w:val="1"/>
        </w:numPr>
        <w:spacing w:after="80" w:line="280"/>
      </w:pPr>
      <w:r>
        <w:t xml:space="preserve">Příjmový doklad se při hotovostní platbě nevystavuje (rozhodnutí zadavatele).</w:t>
      </w:r>
    </w:p>
    <w:p>
      <w:pPr>
        <w:pStyle w:val="Heading2"/>
        <w:spacing w:after="120" w:before="300"/>
      </w:pPr>
      <w:r>
        <w:t xml:space="preserve">3.8 Jednoznačné kódy akcí, služeb a termínů</w:t>
      </w:r>
    </w:p>
    <w:p>
      <w:pPr>
        <w:spacing w:after="140" w:line="300"/>
      </w:pPr>
      <w:r>
        <w:t xml:space="preserve">Každá akce, služba i termín služby má vedle interního čísla WordPressu jednoznačný čitelný kód. Slouží pro komunikaci, vyhledávání, exporty, platební pokyn a zprávu pro příjemce v QR platbě.</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c>
          <w:tcPr>
            <w:tcW w:type="dxa" w:w="2400"/>
            <w:shd w:fill="AE9333" w:val="clear"/>
            <w:tcMar>
              <w:top w:type="dxa" w:w="80"/>
              <w:left w:type="dxa" w:w="100"/>
              <w:bottom w:type="dxa" w:w="80"/>
              <w:right w:type="dxa" w:w="100"/>
            </w:tcMar>
          </w:tcPr>
          <w:p>
            <w:r>
              <w:rPr>
                <w:b/>
                <w:bCs/>
                <w:color w:val="FFFFFF"/>
              </w:rPr>
              <w:t xml:space="preserve">Položka</w:t>
            </w:r>
          </w:p>
        </w:tc>
        <w:tc>
          <w:tcPr>
            <w:tcW w:type="dxa" w:w="2600"/>
            <w:shd w:fill="AE9333" w:val="clear"/>
            <w:tcMar>
              <w:top w:type="dxa" w:w="80"/>
              <w:left w:type="dxa" w:w="100"/>
              <w:bottom w:type="dxa" w:w="80"/>
              <w:right w:type="dxa" w:w="100"/>
            </w:tcMar>
          </w:tcPr>
          <w:p>
            <w:r>
              <w:rPr>
                <w:b/>
                <w:bCs/>
                <w:color w:val="FFFFFF"/>
              </w:rPr>
              <w:t xml:space="preserve">Formát</w:t>
            </w:r>
          </w:p>
        </w:tc>
        <w:tc>
          <w:tcPr>
            <w:tcW w:type="dxa" w:w="4400"/>
            <w:shd w:fill="AE9333" w:val="clear"/>
            <w:tcMar>
              <w:top w:type="dxa" w:w="80"/>
              <w:left w:type="dxa" w:w="100"/>
              <w:bottom w:type="dxa" w:w="80"/>
              <w:right w:type="dxa" w:w="100"/>
            </w:tcMar>
          </w:tcPr>
          <w:p>
            <w:r>
              <w:rPr>
                <w:b/>
                <w:bCs/>
                <w:color w:val="FFFFFF"/>
              </w:rPr>
              <w:t xml:space="preserve">Příklad a poznámka</w:t>
            </w:r>
          </w:p>
        </w:tc>
      </w:tr>
      <w:tr>
        <w:tc>
          <w:tcPr>
            <w:tcW w:type="dxa" w:w="2400"/>
            <w:tcMar>
              <w:top w:type="dxa" w:w="80"/>
              <w:left w:type="dxa" w:w="100"/>
              <w:bottom w:type="dxa" w:w="80"/>
              <w:right w:type="dxa" w:w="100"/>
            </w:tcMar>
          </w:tcPr>
          <w:p>
            <w:r>
              <w:rPr>
                <w:b w:val="false"/>
                <w:bCs w:val="false"/>
              </w:rPr>
              <w:t xml:space="preserve">Akce</w:t>
            </w:r>
          </w:p>
        </w:tc>
        <w:tc>
          <w:tcPr>
            <w:tcW w:type="dxa" w:w="2600"/>
            <w:tcMar>
              <w:top w:type="dxa" w:w="80"/>
              <w:left w:type="dxa" w:w="100"/>
              <w:bottom w:type="dxa" w:w="80"/>
              <w:right w:type="dxa" w:w="100"/>
            </w:tcMar>
          </w:tcPr>
          <w:p>
            <w:r>
              <w:rPr>
                <w:b w:val="false"/>
                <w:bCs w:val="false"/>
              </w:rPr>
              <w:t xml:space="preserve">AK-RRRR-NNNN</w:t>
            </w:r>
          </w:p>
        </w:tc>
        <w:tc>
          <w:tcPr>
            <w:tcW w:type="dxa" w:w="4400"/>
            <w:tcMar>
              <w:top w:type="dxa" w:w="80"/>
              <w:left w:type="dxa" w:w="100"/>
              <w:bottom w:type="dxa" w:w="80"/>
              <w:right w:type="dxa" w:w="100"/>
            </w:tcMar>
          </w:tcPr>
          <w:p>
            <w:r>
              <w:rPr>
                <w:b w:val="false"/>
                <w:bCs w:val="false"/>
              </w:rPr>
              <w:t xml:space="preserve">AK-2026-0012 – rok založení, řada akcí začíná každý rok od 1</w:t>
            </w:r>
          </w:p>
        </w:tc>
      </w:tr>
      <w:tr>
        <w:tc>
          <w:tcPr>
            <w:tcW w:type="dxa" w:w="2400"/>
            <w:tcMar>
              <w:top w:type="dxa" w:w="80"/>
              <w:left w:type="dxa" w:w="100"/>
              <w:bottom w:type="dxa" w:w="80"/>
              <w:right w:type="dxa" w:w="100"/>
            </w:tcMar>
          </w:tcPr>
          <w:p>
            <w:r>
              <w:rPr>
                <w:b w:val="false"/>
                <w:bCs w:val="false"/>
              </w:rPr>
              <w:t xml:space="preserve">Služba</w:t>
            </w:r>
          </w:p>
        </w:tc>
        <w:tc>
          <w:tcPr>
            <w:tcW w:type="dxa" w:w="2600"/>
            <w:tcMar>
              <w:top w:type="dxa" w:w="80"/>
              <w:left w:type="dxa" w:w="100"/>
              <w:bottom w:type="dxa" w:w="80"/>
              <w:right w:type="dxa" w:w="100"/>
            </w:tcMar>
          </w:tcPr>
          <w:p>
            <w:r>
              <w:rPr>
                <w:b w:val="false"/>
                <w:bCs w:val="false"/>
              </w:rPr>
              <w:t xml:space="preserve">SL-NNN</w:t>
            </w:r>
          </w:p>
        </w:tc>
        <w:tc>
          <w:tcPr>
            <w:tcW w:type="dxa" w:w="4400"/>
            <w:tcMar>
              <w:top w:type="dxa" w:w="80"/>
              <w:left w:type="dxa" w:w="100"/>
              <w:bottom w:type="dxa" w:w="80"/>
              <w:right w:type="dxa" w:w="100"/>
            </w:tcMar>
          </w:tcPr>
          <w:p>
            <w:r>
              <w:rPr>
                <w:b w:val="false"/>
                <w:bCs w:val="false"/>
              </w:rPr>
              <w:t xml:space="preserve">SL-003 – služby jsou dlouhodobé, rok se neuvádí</w:t>
            </w:r>
          </w:p>
        </w:tc>
      </w:tr>
      <w:tr>
        <w:tc>
          <w:tcPr>
            <w:tcW w:type="dxa" w:w="2400"/>
            <w:tcMar>
              <w:top w:type="dxa" w:w="80"/>
              <w:left w:type="dxa" w:w="100"/>
              <w:bottom w:type="dxa" w:w="80"/>
              <w:right w:type="dxa" w:w="100"/>
            </w:tcMar>
          </w:tcPr>
          <w:p>
            <w:r>
              <w:rPr>
                <w:b w:val="false"/>
                <w:bCs w:val="false"/>
              </w:rPr>
              <w:t xml:space="preserve">Termín služby</w:t>
            </w:r>
          </w:p>
        </w:tc>
        <w:tc>
          <w:tcPr>
            <w:tcW w:type="dxa" w:w="2600"/>
            <w:tcMar>
              <w:top w:type="dxa" w:w="80"/>
              <w:left w:type="dxa" w:w="100"/>
              <w:bottom w:type="dxa" w:w="80"/>
              <w:right w:type="dxa" w:w="100"/>
            </w:tcMar>
          </w:tcPr>
          <w:p>
            <w:r>
              <w:rPr>
                <w:b w:val="false"/>
                <w:bCs w:val="false"/>
              </w:rPr>
              <w:t xml:space="preserve">TE-RRRR-NNNN</w:t>
            </w:r>
          </w:p>
        </w:tc>
        <w:tc>
          <w:tcPr>
            <w:tcW w:type="dxa" w:w="4400"/>
            <w:tcMar>
              <w:top w:type="dxa" w:w="80"/>
              <w:left w:type="dxa" w:w="100"/>
              <w:bottom w:type="dxa" w:w="80"/>
              <w:right w:type="dxa" w:w="100"/>
            </w:tcMar>
          </w:tcPr>
          <w:p>
            <w:r>
              <w:rPr>
                <w:b w:val="false"/>
                <w:bCs w:val="false"/>
              </w:rPr>
              <w:t xml:space="preserve">TE-2026-0145 – samostatná řada; vazba na službu je vidět v administraci</w:t>
            </w:r>
          </w:p>
        </w:tc>
      </w:tr>
    </w:tbl>
    <w:p>
      <w:pPr>
        <w:spacing w:after="80"/>
      </w:pPr>
    </w:p>
    <w:p>
      <w:pPr>
        <w:pStyle w:val="ListParagraph"/>
        <w:numPr>
          <w:ilvl w:val="0"/>
          <w:numId w:val="1"/>
        </w:numPr>
        <w:spacing w:after="80" w:line="280"/>
      </w:pPr>
      <w:r>
        <w:t xml:space="preserve">Kód vznikne automaticky při prvním uložení (termíny už v generátoru) a je neměnný – nemění se se změnou data, názvu, ceny, místa ani typu. Proto neobsahuje datum konání.</w:t>
      </w:r>
    </w:p>
    <w:p>
      <w:pPr>
        <w:pStyle w:val="ListParagraph"/>
        <w:numPr>
          <w:ilvl w:val="0"/>
          <w:numId w:val="1"/>
        </w:numPr>
        <w:spacing w:after="80" w:line="280"/>
      </w:pPr>
      <w:r>
        <w:t xml:space="preserve">Řady se jen zvyšují; kód smazané akce se nikdy znovu nepřidělí. Přidělování probíhá pod zámkem stejně jako VS, takže ani při souběhu nevzniknou duplicity.</w:t>
      </w:r>
    </w:p>
    <w:p>
      <w:pPr>
        <w:pStyle w:val="ListParagraph"/>
        <w:numPr>
          <w:ilvl w:val="0"/>
          <w:numId w:val="1"/>
        </w:numPr>
        <w:spacing w:after="80" w:line="280"/>
      </w:pPr>
      <w:r>
        <w:t xml:space="preserve">Duplikát akce dostane nový kód.</w:t>
      </w:r>
    </w:p>
    <w:p>
      <w:pPr>
        <w:pStyle w:val="ListParagraph"/>
        <w:numPr>
          <w:ilvl w:val="0"/>
          <w:numId w:val="1"/>
        </w:numPr>
        <w:spacing w:after="80" w:line="280"/>
      </w:pPr>
      <w:r>
        <w:t xml:space="preserve">Předpony (AK/SL/TE) a počet číslic jsou v nastavení (pravidla fáze 1); změna platí jen pro nově přidělované kódy.</w:t>
      </w:r>
    </w:p>
    <w:p>
      <w:pPr>
        <w:pStyle w:val="ListParagraph"/>
        <w:numPr>
          <w:ilvl w:val="0"/>
          <w:numId w:val="1"/>
        </w:numPr>
        <w:spacing w:after="80" w:line="280"/>
      </w:pPr>
      <w:r>
        <w:t xml:space="preserve">Po aktualizaci na verzi 0.3.4 se kódy automaticky doplní existujícím akcím, službám a termínům v pořadí jejich založení.</w:t>
      </w:r>
    </w:p>
    <w:p>
      <w:pPr>
        <w:pStyle w:val="ListParagraph"/>
        <w:numPr>
          <w:ilvl w:val="0"/>
          <w:numId w:val="1"/>
        </w:numPr>
        <w:spacing w:after="80" w:line="280"/>
      </w:pPr>
      <w:r>
        <w:t xml:space="preserve">Kód nenahrazuje variabilní symbol: VS (číselný) identifikuje konkrétní rezervaci a platbu, kód identifikuje akci, službu nebo termín. Rezervace tak nese obojí, např. VS 26000031 · AK-2026-0012.</w:t>
      </w:r>
    </w:p>
    <w:p>
      <w:pPr>
        <w:pStyle w:val="ListParagraph"/>
        <w:numPr>
          <w:ilvl w:val="0"/>
          <w:numId w:val="1"/>
        </w:numPr>
        <w:spacing w:after="80" w:line="280"/>
      </w:pPr>
      <w:r>
        <w:t xml:space="preserve">Kde se kód zobrazuje: seznam akcí a služeb (sloupec Kód, vyhledání podle kódu), editace akce a služby, seznam a detail rezervací (hledání rezervací podle kódu akce i služby), odbavení na místě, CSV export, proměnná {event_code} v e-mailech, platební pokyn (PDF) a zpráva pro příjemce v QR platbě (E4). Shortcody přijímají i kód (např. [reserveandpay_booking id="AK-2026-0012"], [reserveandpay_slots service="SL-003"]).</w:t>
      </w:r>
    </w:p>
    <w:p>
      <w:pPr>
        <w:pStyle w:val="ListParagraph"/>
        <w:numPr>
          <w:ilvl w:val="0"/>
          <w:numId w:val="1"/>
        </w:numPr>
        <w:spacing w:after="80" w:line="280"/>
      </w:pPr>
      <w:r>
        <w:t xml:space="preserve">Na webu se zákaznicím kód nezobrazuje (rozhodnutí zadavatele); v e-mailu a na platebním pokynu ano.</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Primární platební možností je „Bankovní převod (QR platba)“; je-li povolena, nabídne formulář jako doplňkovou možnost „Hotově na místě“ (kap. 3.7).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Způsob platby</w:t>
            </w:r>
          </w:p>
        </w:tc>
        <w:tc>
          <w:tcPr>
            <w:tcW w:type="dxa" w:w="3600"/>
            <w:tcMar>
              <w:top w:type="dxa" w:w="80"/>
              <w:left w:type="dxa" w:w="100"/>
              <w:bottom w:type="dxa" w:w="80"/>
              <w:right w:type="dxa" w:w="100"/>
            </w:tcMar>
          </w:tcPr>
          <w:p>
            <w:r>
              <w:rPr>
                <w:b w:val="false"/>
                <w:bCs w:val="false"/>
              </w:rPr>
              <w:t xml:space="preserve">Jen je-li povolena hotovost</w:t>
            </w:r>
          </w:p>
        </w:tc>
        <w:tc>
          <w:tcPr>
            <w:tcW w:type="dxa" w:w="3200"/>
            <w:tcMar>
              <w:top w:type="dxa" w:w="80"/>
              <w:left w:type="dxa" w:w="100"/>
              <w:bottom w:type="dxa" w:w="80"/>
              <w:right w:type="dxa" w:w="100"/>
            </w:tcMar>
          </w:tcPr>
          <w:p>
            <w:r>
              <w:rPr>
                <w:b w:val="false"/>
                <w:bCs w:val="false"/>
              </w:rPr>
              <w:t xml:space="preserve">„Převodem – QR platba“ (předvybráno, doporučeno) / „Hotově na místě“ (kap. 3.7)</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(při volbě hotovosti „Platba na místě“), vypočte splatnost (kap. 3.6), zablokuje jedno místo a přidělí jí unikátní VS (kap. 5.3).</w:t>
      </w:r>
    </w:p>
    <w:p>
      <w:pPr>
        <w:pStyle w:val="ListParagraph"/>
        <w:numPr>
          <w:ilvl w:val="0"/>
          <w:numId w:val="5"/>
        </w:numPr>
        <w:spacing w:after="80" w:line="280"/>
      </w:pPr>
      <w:r>
        <w:t xml:space="preserve">Systém odešle e-mail s platebním pokynem a QR kódem (kap. 5; u hotovosti potvrzení s QR kódem pro případnou platbu předem)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Kódy (kap. 3.8): sloupec Kód v seznamu akcí a služeb, vyhledání podle kódu (najde i termín), kód v editaci, v seznamu a detailu rezervací, při odbavení a v CSV exportu; hledání rezervací podle kódu akce nebo služby.</w:t>
      </w:r>
    </w:p>
    <w:p>
      <w:pPr>
        <w:pStyle w:val="ListParagraph"/>
        <w:numPr>
          <w:ilvl w:val="0"/>
          <w:numId w:val="1"/>
        </w:numPr>
        <w:spacing w:after="80" w:line="280"/>
      </w:pPr>
      <w:r>
        <w:t xml:space="preserve">Menu „Rezervace“: Rezervace, Nová rezervace, Odbavení,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termín služby přebírá počet míst ze služby (lze upravit);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hotově“. U rezervace je vidět zvolený způsob platby (štítek „zvolila hotovost“), v detailu akce počet a částka rezervací s hotovostí a odkaz na odbavení.</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pravidlo splatnosti (3.6), povolení hotovosti (3.7), hranice pro platbu na místě (3.6),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Potvrzení rezervace – hotovost</w:t>
            </w:r>
          </w:p>
        </w:tc>
        <w:tc>
          <w:tcPr>
            <w:tcW w:type="dxa" w:w="6400"/>
            <w:tcMar>
              <w:top w:type="dxa" w:w="80"/>
              <w:left w:type="dxa" w:w="100"/>
              <w:bottom w:type="dxa" w:w="80"/>
              <w:right w:type="dxa" w:w="100"/>
            </w:tcMar>
          </w:tcPr>
          <w:p>
            <w:r>
              <w:rPr>
                <w:b w:val="false"/>
                <w:bCs w:val="false"/>
              </w:rPr>
              <w:t xml:space="preserve">Ihned po rezervaci s volbou hotovosti; obsahuje i platební údaje a QR kód pro platbu předem (kap. 3.7)</w:t>
            </w:r>
          </w:p>
        </w:tc>
      </w:tr>
      <w:tr>
        <w:tc>
          <w:tcPr>
            <w:tcW w:type="dxa" w:w="3000"/>
            <w:tcMar>
              <w:top w:type="dxa" w:w="80"/>
              <w:left w:type="dxa" w:w="100"/>
              <w:bottom w:type="dxa" w:w="80"/>
              <w:right w:type="dxa" w:w="100"/>
            </w:tcMar>
          </w:tcPr>
          <w:p>
            <w:r>
              <w:rPr>
                <w:b w:val="false"/>
                <w:bCs w:val="false"/>
              </w:rPr>
              <w:t xml:space="preserve">Připomínka po splatnosti</w:t>
            </w:r>
          </w:p>
        </w:tc>
        <w:tc>
          <w:tcPr>
            <w:tcW w:type="dxa" w:w="6400"/>
            <w:tcMar>
              <w:top w:type="dxa" w:w="80"/>
              <w:left w:type="dxa" w:w="100"/>
              <w:bottom w:type="dxa" w:w="80"/>
              <w:right w:type="dxa" w:w="100"/>
            </w:tcMar>
          </w:tcPr>
          <w:p>
            <w:r>
              <w:rPr>
                <w:b w:val="false"/>
                <w:bCs w:val="false"/>
              </w:rPr>
              <w:t xml:space="preserve">Jednou, když rezervace přejde do stavu „Po splatnosti“ (splatnost v den termínu nebo po něm, kap. 3.6)</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2"/>
        <w:spacing w:after="120" w:before="300"/>
      </w:pPr>
      <w:r>
        <w:t xml:space="preserve">4.7 Odbavení na místě</w:t>
      </w:r>
    </w:p>
    <w:p>
      <w:pPr>
        <w:spacing w:after="140" w:line="300"/>
      </w:pPr>
      <w:r>
        <w:t xml:space="preserve">Stránka Rezervace → Odbavení je určená i pro telefon – Hanka ji otevře na lekci. Slouží ke spárování rezervace a plátce na místě:</w:t>
      </w:r>
    </w:p>
    <w:p>
      <w:pPr>
        <w:pStyle w:val="ListParagraph"/>
        <w:numPr>
          <w:ilvl w:val="0"/>
          <w:numId w:val="1"/>
        </w:numPr>
        <w:spacing w:after="80" w:line="280"/>
      </w:pPr>
      <w:r>
        <w:t xml:space="preserve">Vyhledání rezervace podle variabilního symbolu z potvrzovacího e-mailu. Stačí zadat VS i bez úvodních nul nebo s mezerami; vložený text QR platby (SPD) se rozpozná podle pole X-VS.</w:t>
      </w:r>
    </w:p>
    <w:p>
      <w:pPr>
        <w:pStyle w:val="ListParagraph"/>
        <w:numPr>
          <w:ilvl w:val="0"/>
          <w:numId w:val="1"/>
        </w:numPr>
        <w:spacing w:after="80" w:line="280"/>
      </w:pPr>
      <w:r>
        <w:t xml:space="preserve">Načtení QR kódu kamerou telefonu přímo na stránce Odbavení – součást etapy E4 (spolu s QR kódem v e-mailech).</w:t>
      </w:r>
    </w:p>
    <w:p>
      <w:pPr>
        <w:pStyle w:val="ListParagraph"/>
        <w:numPr>
          <w:ilvl w:val="0"/>
          <w:numId w:val="1"/>
        </w:numPr>
        <w:spacing w:after="80" w:line="280"/>
      </w:pPr>
      <w:r>
        <w:t xml:space="preserve">Karta rezervace: jméno, akce a termín, částka, VS, stav, zvolený způsob platby, kontakt a poznámka. Tlačítka „Zaplaceno hotově“ a „Zaplaceno převodem“ (převod ověřený na místě), volitelně e-mail s potvrzením platby.</w:t>
      </w:r>
    </w:p>
    <w:p>
      <w:pPr>
        <w:pStyle w:val="ListParagraph"/>
        <w:numPr>
          <w:ilvl w:val="0"/>
          <w:numId w:val="1"/>
        </w:numPr>
        <w:spacing w:after="80" w:line="280"/>
      </w:pPr>
      <w:r>
        <w:t xml:space="preserve">Přehled dne (s listováním po dnech): akce a termíny s aktivními rezervacemi, počet nezaplacených a částka k vybrání na místě; u každé nezaplacené rezervace rychlá tlačítka Hotově / Převodem. Štítek „hotově“ označí rezervace, které zvolily hotovost.</w:t>
      </w:r>
    </w:p>
    <w:p>
      <w:pPr>
        <w:pStyle w:val="ListParagraph"/>
        <w:numPr>
          <w:ilvl w:val="0"/>
          <w:numId w:val="1"/>
        </w:numPr>
        <w:spacing w:after="80" w:line="280"/>
      </w:pPr>
      <w:r>
        <w:t xml:space="preserve">Zaplacenou ani zrušenou rezervaci nelze odbavit znovu; expirovanou lze (klientka je na místě), i nad kapacitu.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Kód akce/termínu a jméno zákazníka, např. „AK-2026-0012 Jana Nováková“ (kap. 3.8)</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kód (kap. 3.8),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 – posílá se vždy, i u rezervace s volbou hotovosti (kap. 3.7)</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Zákazník zvolil hotovost (kap. 3.7), nebo rezervace na poslední chvíli, jejíž platba do začátku akce nedorazila (kap. 3.6)</w:t>
            </w:r>
          </w:p>
        </w:tc>
        <w:tc>
          <w:tcPr>
            <w:tcW w:type="dxa" w:w="3800"/>
            <w:tcMar>
              <w:top w:type="dxa" w:w="80"/>
              <w:left w:type="dxa" w:w="100"/>
              <w:bottom w:type="dxa" w:w="80"/>
              <w:right w:type="dxa" w:w="100"/>
            </w:tcMar>
          </w:tcPr>
          <w:p>
            <w:r>
              <w:rPr>
                <w:b w:val="false"/>
                <w:bCs w:val="false"/>
              </w:rPr>
              <w:t xml:space="preserve">Místo zůstává blokované, neexpiruje; Hanka po zaplacení označí rezervaci jako zaplacenou (hotově / převodem), např. na stránce Odbavení (kap. 4.7)</w:t>
            </w:r>
          </w:p>
        </w:tc>
      </w:tr>
      <w:tr>
        <w:tc>
          <w:tcPr>
            <w:tcW w:type="dxa" w:w="2200"/>
            <w:tcMar>
              <w:top w:type="dxa" w:w="80"/>
              <w:left w:type="dxa" w:w="100"/>
              <w:bottom w:type="dxa" w:w="80"/>
              <w:right w:type="dxa" w:w="100"/>
            </w:tcMar>
          </w:tcPr>
          <w:p>
            <w:r>
              <w:rPr>
                <w:b w:val="false"/>
                <w:bCs w:val="false"/>
              </w:rPr>
              <w:t xml:space="preserve">Po splatnosti</w:t>
            </w:r>
          </w:p>
        </w:tc>
        <w:tc>
          <w:tcPr>
            <w:tcW w:type="dxa" w:w="3400"/>
            <w:tcMar>
              <w:top w:type="dxa" w:w="80"/>
              <w:left w:type="dxa" w:w="100"/>
              <w:bottom w:type="dxa" w:w="80"/>
              <w:right w:type="dxa" w:w="100"/>
            </w:tcMar>
          </w:tcPr>
          <w:p>
            <w:r>
              <w:rPr>
                <w:b w:val="false"/>
                <w:bCs w:val="false"/>
              </w:rPr>
              <w:t xml:space="preserve">Uplyne splatnost, která byla v den termínu nebo po něm, bez platby (kap. 3.6)</w:t>
            </w:r>
          </w:p>
        </w:tc>
        <w:tc>
          <w:tcPr>
            <w:tcW w:type="dxa" w:w="3800"/>
            <w:tcMar>
              <w:top w:type="dxa" w:w="80"/>
              <w:left w:type="dxa" w:w="100"/>
              <w:bottom w:type="dxa" w:w="80"/>
              <w:right w:type="dxa" w:w="100"/>
            </w:tcMar>
          </w:tcPr>
          <w:p>
            <w:r>
              <w:rPr>
                <w:b w:val="false"/>
                <w:bCs w:val="false"/>
              </w:rPr>
              <w:t xml:space="preserve">Místo zůstává blokované (termín proběhl), zákazník dostane jednu připomínku; po zaplacení „Zaplaceno“, jinak ruční řešení nebo zrušení</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před začátkem termínu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Rezervace se splatností v den termínu nebo po něm neexpirují – přecházejí do stavu „Po splatnosti“ s jednou připomínkou (kap. 3.6). Ve verzi 0.3.3 tento přechod (a přechod rezervace na poslední chvíli do „Platba na místě“) spouští hodinový plánovač WordPressu; od E5 ho obsluhuje i CRON Active24.</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 akce, služby a termíny nesou kód v metadatech (kap. 3.8)</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Splatnost vypočtená podle pravidla akce (kap. 3.6), pro logiku 7.2b</w:t>
            </w:r>
          </w:p>
        </w:tc>
      </w:tr>
      <w:tr>
        <w:tc>
          <w:tcPr>
            <w:tcW w:type="dxa" w:w="2600"/>
            <w:tcMar>
              <w:top w:type="dxa" w:w="80"/>
              <w:left w:type="dxa" w:w="100"/>
              <w:bottom w:type="dxa" w:w="80"/>
              <w:right w:type="dxa" w:w="100"/>
            </w:tcMar>
          </w:tcPr>
          <w:p>
            <w:r>
              <w:rPr>
                <w:b w:val="false"/>
                <w:bCs w:val="false"/>
              </w:rPr>
              <w:t xml:space="preserve">Zvolený způsob platby</w:t>
            </w:r>
          </w:p>
        </w:tc>
        <w:tc>
          <w:tcPr>
            <w:tcW w:type="dxa" w:w="6800"/>
            <w:tcMar>
              <w:top w:type="dxa" w:w="80"/>
              <w:left w:type="dxa" w:w="100"/>
              <w:bottom w:type="dxa" w:w="80"/>
              <w:right w:type="dxa" w:w="100"/>
            </w:tcMar>
          </w:tcPr>
          <w:p>
            <w:r>
              <w:rPr>
                <w:b w:val="false"/>
                <w:bCs w:val="false"/>
              </w:rPr>
              <w:t xml:space="preserve">Převodem (QR) / hotově na místě (kap. 3.7)</w:t>
            </w:r>
          </w:p>
        </w:tc>
      </w:tr>
      <w:tr>
        <w:tc>
          <w:tcPr>
            <w:tcW w:type="dxa" w:w="2600"/>
            <w:tcMar>
              <w:top w:type="dxa" w:w="80"/>
              <w:left w:type="dxa" w:w="100"/>
              <w:bottom w:type="dxa" w:w="80"/>
              <w:right w:type="dxa" w:w="100"/>
            </w:tcMar>
          </w:tcPr>
          <w:p>
            <w:r>
              <w:rPr>
                <w:b w:val="false"/>
                <w:bCs w:val="false"/>
              </w:rPr>
              <w:t xml:space="preserve">Připomínka odeslána</w:t>
            </w:r>
          </w:p>
        </w:tc>
        <w:tc>
          <w:tcPr>
            <w:tcW w:type="dxa" w:w="6800"/>
            <w:tcMar>
              <w:top w:type="dxa" w:w="80"/>
              <w:left w:type="dxa" w:w="100"/>
              <w:bottom w:type="dxa" w:w="80"/>
              <w:right w:type="dxa" w:w="100"/>
            </w:tcMar>
          </w:tcPr>
          <w:p>
            <w:r>
              <w:rPr>
                <w:b w:val="false"/>
                <w:bCs w:val="false"/>
              </w:rPr>
              <w:t xml:space="preserve">Čas odeslání připomínky po splatnosti (posílá se jednou)</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hotově na místě nebo převod ověřený na místě (označeno ručně, např. při odbavení);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Částečně: připomínka po splatnosti (stav Po splatnosti) zavedena ve v2.0; připomínka před koncem splatnosti 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Částečně: pravidelné lekce řeší služba s více místy a generátor (v1.9, kap. 3.4); čekací listina a slevové kódy otevřené</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Otevřená</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pauza a počet míst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 načtení QR kódu kamerou při odbavení</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Termín služby s 15 místy přijme 15 samostatných rezervací (každá s vlastním VS), do zaplnění zůstává ve volných termínech s počtem volných míst, 16. rezervace je odmítnuta; změna počtu míst služby bez volby promítnutí existující termíny nemění.</w:t>
      </w:r>
    </w:p>
    <w:p>
      <w:pPr>
        <w:pStyle w:val="ListParagraph"/>
        <w:numPr>
          <w:ilvl w:val="0"/>
          <w:numId w:val="1"/>
        </w:numPr>
        <w:spacing w:after="80" w:line="280"/>
      </w:pPr>
      <w:r>
        <w:t xml:space="preserve">Splatnost odpovídá pravidlu: od rezervace nikdy nepřesáhne začátek termínu; vůči termínu −1 / 0 / +1 vyjde den před / v den / den po termínu (do konce dne); kombinace vybere dřívější datum; pravidlo u akce či služby přepíše nastavení.</w:t>
      </w:r>
    </w:p>
    <w:p>
      <w:pPr>
        <w:pStyle w:val="ListParagraph"/>
        <w:numPr>
          <w:ilvl w:val="0"/>
          <w:numId w:val="1"/>
        </w:numPr>
        <w:spacing w:after="80" w:line="280"/>
      </w:pPr>
      <w:r>
        <w:t xml:space="preserve">Nezaplacená rezervace se splatností v den termínu nebo po něm přejde po splatnosti do stavu „Po splatnosti“, místo zůstává blokované a připomínka odejde právě jednou.</w:t>
      </w:r>
    </w:p>
    <w:p>
      <w:pPr>
        <w:pStyle w:val="ListParagraph"/>
        <w:numPr>
          <w:ilvl w:val="0"/>
          <w:numId w:val="1"/>
        </w:numPr>
        <w:spacing w:after="80" w:line="280"/>
      </w:pPr>
      <w:r>
        <w:t xml:space="preserve">Při povolené hotovosti je ve formuláři předvybraný převod; rezervace s volbou hotovosti je ve stavu „Platba na místě“ a e-mail obsahuje i údaje pro platbu převodem. Při vypnuté hotovosti formulář volbu nenabízí a volbu nelze podvrhnout.</w:t>
      </w:r>
    </w:p>
    <w:p>
      <w:pPr>
        <w:pStyle w:val="ListParagraph"/>
        <w:numPr>
          <w:ilvl w:val="0"/>
          <w:numId w:val="1"/>
        </w:numPr>
        <w:spacing w:after="80" w:line="280"/>
      </w:pPr>
      <w:r>
        <w:t xml:space="preserve">Každá akce, služba i termín má kód podle nastaveného formátu; kód se nemění při úpravách, duplikát dostane nový, kód smazané akce se znovu nepoužije, existující položky dostanou kód při aktualizaci; podle kódu lze vyhledat akci, službu i rezervace.</w:t>
      </w:r>
    </w:p>
    <w:p>
      <w:pPr>
        <w:pStyle w:val="ListParagraph"/>
        <w:numPr>
          <w:ilvl w:val="0"/>
          <w:numId w:val="1"/>
        </w:numPr>
        <w:spacing w:after="80" w:line="280"/>
      </w:pPr>
      <w:r>
        <w:t xml:space="preserve">Odbavení: rezervaci lze najít podle VS (i bez úvodních nul nebo z textu QR platby) a označit zaplacenou hotově nebo převodem; zaplacenou ani zrušenou nelze odbavit znovu.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22.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0.3.0–0.3.2</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 počet míst na termín (skupinové lekce)</w:t>
            </w:r>
          </w:p>
        </w:tc>
        <w:tc>
          <w:tcPr>
            <w:tcW w:type="dxa" w:w="2200"/>
            <w:tcMar>
              <w:top w:type="dxa" w:w="80"/>
              <w:left w:type="dxa" w:w="100"/>
              <w:bottom w:type="dxa" w:w="80"/>
              <w:right w:type="dxa" w:w="100"/>
            </w:tcMar>
          </w:tcPr>
          <w:p>
            <w:r>
              <w:rPr>
                <w:b w:val="false"/>
                <w:bCs w:val="false"/>
              </w:rPr>
              <w:t xml:space="preserve">Hotovo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0.3.3–0.3.4</w:t>
            </w:r>
          </w:p>
        </w:tc>
        <w:tc>
          <w:tcPr>
            <w:tcW w:type="dxa" w:w="4600"/>
            <w:tcMar>
              <w:top w:type="dxa" w:w="80"/>
              <w:left w:type="dxa" w:w="100"/>
              <w:bottom w:type="dxa" w:w="80"/>
              <w:right w:type="dxa" w:w="100"/>
            </w:tcMar>
          </w:tcPr>
          <w:p>
            <w:r>
              <w:rPr>
                <w:b w:val="false"/>
                <w:bCs w:val="false"/>
              </w:rPr>
              <w:t xml:space="preserve">Pravidla splatnosti, stav Po splatnosti s připomínkou, hotovost jako doplňková platba, odbavení na místě podle VS; jednoznačné kódy akcí, služeb a termínů</w:t>
            </w:r>
          </w:p>
        </w:tc>
        <w:tc>
          <w:tcPr>
            <w:tcW w:type="dxa" w:w="2200"/>
            <w:tcMar>
              <w:top w:type="dxa" w:w="80"/>
              <w:left w:type="dxa" w:w="100"/>
              <w:bottom w:type="dxa" w:w="80"/>
              <w:right w:type="dxa" w:w="100"/>
            </w:tcMar>
          </w:tcPr>
          <w:p>
            <w:r>
              <w:rPr>
                <w:b w:val="false"/>
                <w:bCs w:val="false"/>
              </w:rPr>
              <w:t xml:space="preserve">Hotovo, 0.3.4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 načtení QR kódu kamerou při odbavení</w:t>
            </w:r>
          </w:p>
        </w:tc>
        <w:tc>
          <w:tcPr>
            <w:tcW w:type="dxa" w:w="2200"/>
            <w:tcMar>
              <w:top w:type="dxa" w:w="80"/>
              <w:left w:type="dxa" w:w="100"/>
              <w:bottom w:type="dxa" w:w="80"/>
              <w:right w:type="dxa" w:w="100"/>
            </w:tcMar>
          </w:tcPr>
          <w:p>
            <w:r>
              <w:rPr>
                <w:b w:val="false"/>
                <w:bCs w:val="false"/>
              </w:rPr>
              <w:t xml:space="preserve">Připraveno k vývoji – účet RB znám (k potvrzení, otázka 16)</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po nasazení 0.3.2 se založí služba Sound Healing s 15 místy na termín. Účet pro příjem plateb (dle avíza): Raiffeisenbank 8032378004/5500, IBAN CZ4655000000008032378004 – zatím nezadán v nastavení.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