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UniCredit Bank (výhradně ve WordPressu) a správu stavu úhrady</w:t>
      </w:r>
    </w:p>
    <w:p>
      <w:pPr>
        <w:spacing w:before="800"/>
        <w:jc w:val="center"/>
      </w:pPr>
      <w:r>
        <w:rPr>
          <w:color w:val="666666"/>
          <w:sz w:val="20"/>
          <w:szCs w:val="20"/>
        </w:rPr>
        <w:t xml:space="preserve">Verze 1.7 · 21. října 2026</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Verze</w:t>
            </w:r>
          </w:p>
        </w:tc>
        <w:tc>
          <w:tcPr>
            <w:tcW w:type="dxa" w:w="6800"/>
            <w:shd w:fill="AE9333" w:val="clear"/>
            <w:tcMar>
              <w:top w:type="dxa" w:w="80"/>
              <w:left w:type="dxa" w:w="100"/>
              <w:bottom w:type="dxa" w:w="80"/>
              <w:right w:type="dxa" w:w="100"/>
            </w:tcMar>
          </w:tcPr>
          <w:p>
            <w:r>
              <w:rPr>
                <w:b/>
                <w:bCs/>
                <w:color w:val="FFFFFF"/>
              </w:rPr>
              <w:t xml:space="preserve">Změny</w:t>
            </w:r>
          </w:p>
        </w:tc>
      </w:tr>
      <w:tr>
        <w:tc>
          <w:tcPr>
            <w:tcW w:type="dxa" w:w="2600"/>
            <w:tcMar>
              <w:top w:type="dxa" w:w="80"/>
              <w:left w:type="dxa" w:w="100"/>
              <w:bottom w:type="dxa" w:w="80"/>
              <w:right w:type="dxa" w:w="100"/>
            </w:tcMar>
          </w:tcPr>
          <w:p>
            <w:r>
              <w:rPr>
                <w:b w:val="false"/>
                <w:bCs w:val="false"/>
              </w:rPr>
              <w:t xml:space="preserve">1.0 · 28. 8. 2026</w:t>
            </w:r>
          </w:p>
        </w:tc>
        <w:tc>
          <w:tcPr>
            <w:tcW w:type="dxa" w:w="6800"/>
            <w:tcMar>
              <w:top w:type="dxa" w:w="80"/>
              <w:left w:type="dxa" w:w="100"/>
              <w:bottom w:type="dxa" w:w="80"/>
              <w:right w:type="dxa" w:w="100"/>
            </w:tcMar>
          </w:tcPr>
          <w:p>
            <w:r>
              <w:rPr>
                <w:b w:val="false"/>
                <w:bCs w:val="false"/>
              </w:rPr>
              <w:t xml:space="preserve">První verze analytického zadání.</w:t>
            </w:r>
          </w:p>
        </w:tc>
      </w:tr>
      <w:tr>
        <w:tc>
          <w:tcPr>
            <w:tcW w:type="dxa" w:w="2600"/>
            <w:tcMar>
              <w:top w:type="dxa" w:w="80"/>
              <w:left w:type="dxa" w:w="100"/>
              <w:bottom w:type="dxa" w:w="80"/>
              <w:right w:type="dxa" w:w="100"/>
            </w:tcMar>
          </w:tcPr>
          <w:p>
            <w:r>
              <w:rPr>
                <w:b w:val="false"/>
                <w:bCs w:val="false"/>
              </w:rPr>
              <w:t xml:space="preserve">1.1 · 20. 10. 2026</w:t>
            </w:r>
          </w:p>
        </w:tc>
        <w:tc>
          <w:tcPr>
            <w:tcW w:type="dxa" w:w="68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2600"/>
            <w:tcMar>
              <w:top w:type="dxa" w:w="80"/>
              <w:left w:type="dxa" w:w="100"/>
              <w:bottom w:type="dxa" w:w="80"/>
              <w:right w:type="dxa" w:w="100"/>
            </w:tcMar>
          </w:tcPr>
          <w:p>
            <w:r>
              <w:rPr>
                <w:b w:val="false"/>
                <w:bCs w:val="false"/>
              </w:rPr>
              <w:t xml:space="preserve">1.2 · 20. 10. 2026</w:t>
            </w:r>
          </w:p>
        </w:tc>
        <w:tc>
          <w:tcPr>
            <w:tcW w:type="dxa" w:w="68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2600"/>
            <w:tcMar>
              <w:top w:type="dxa" w:w="80"/>
              <w:left w:type="dxa" w:w="100"/>
              <w:bottom w:type="dxa" w:w="80"/>
              <w:right w:type="dxa" w:w="100"/>
            </w:tcMar>
          </w:tcPr>
          <w:p>
            <w:r>
              <w:rPr>
                <w:b w:val="false"/>
                <w:bCs w:val="false"/>
              </w:rPr>
              <w:t xml:space="preserve">1.3 · 21. 10. 2026</w:t>
            </w:r>
          </w:p>
        </w:tc>
        <w:tc>
          <w:tcPr>
            <w:tcW w:type="dxa" w:w="68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2600"/>
            <w:tcMar>
              <w:top w:type="dxa" w:w="80"/>
              <w:left w:type="dxa" w:w="100"/>
              <w:bottom w:type="dxa" w:w="80"/>
              <w:right w:type="dxa" w:w="100"/>
            </w:tcMar>
          </w:tcPr>
          <w:p>
            <w:r>
              <w:rPr>
                <w:b w:val="false"/>
                <w:bCs w:val="false"/>
              </w:rPr>
              <w:t xml:space="preserve">1.4 · 21. 10. 2026</w:t>
            </w:r>
          </w:p>
        </w:tc>
        <w:tc>
          <w:tcPr>
            <w:tcW w:type="dxa" w:w="68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2600"/>
            <w:tcMar>
              <w:top w:type="dxa" w:w="80"/>
              <w:left w:type="dxa" w:w="100"/>
              <w:bottom w:type="dxa" w:w="80"/>
              <w:right w:type="dxa" w:w="100"/>
            </w:tcMar>
          </w:tcPr>
          <w:p>
            <w:r>
              <w:rPr>
                <w:b w:val="false"/>
                <w:bCs w:val="false"/>
              </w:rPr>
              <w:t xml:space="preserve">1.5 · 21. 10. 2026</w:t>
            </w:r>
          </w:p>
        </w:tc>
        <w:tc>
          <w:tcPr>
            <w:tcW w:type="dxa" w:w="68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2600"/>
            <w:tcMar>
              <w:top w:type="dxa" w:w="80"/>
              <w:left w:type="dxa" w:w="100"/>
              <w:bottom w:type="dxa" w:w="80"/>
              <w:right w:type="dxa" w:w="100"/>
            </w:tcMar>
          </w:tcPr>
          <w:p>
            <w:r>
              <w:rPr>
                <w:b w:val="false"/>
                <w:bCs w:val="false"/>
              </w:rPr>
              <w:t xml:space="preserve">1.6 · 21. 10. 2026</w:t>
            </w:r>
          </w:p>
        </w:tc>
        <w:tc>
          <w:tcPr>
            <w:tcW w:type="dxa" w:w="68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2600"/>
            <w:tcMar>
              <w:top w:type="dxa" w:w="80"/>
              <w:left w:type="dxa" w:w="100"/>
              <w:bottom w:type="dxa" w:w="80"/>
              <w:right w:type="dxa" w:w="100"/>
            </w:tcMar>
          </w:tcPr>
          <w:p>
            <w:r>
              <w:rPr>
                <w:b w:val="false"/>
                <w:bCs w:val="false"/>
              </w:rPr>
              <w:t xml:space="preserve">1.7 · 21. 10. 2026</w:t>
            </w:r>
          </w:p>
        </w:tc>
        <w:tc>
          <w:tcPr>
            <w:tcW w:type="dxa" w:w="68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UniCredit 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Individuální termíny (masáže)</w:t>
            </w:r>
          </w:p>
        </w:tc>
        <w:tc>
          <w:tcPr>
            <w:tcW w:type="dxa" w:w="6800"/>
            <w:tcMar>
              <w:top w:type="dxa" w:w="80"/>
              <w:left w:type="dxa" w:w="100"/>
              <w:bottom w:type="dxa" w:w="80"/>
              <w:right w:type="dxa" w:w="100"/>
            </w:tcMar>
          </w:tcPr>
          <w:p>
            <w:r>
              <w:rPr>
                <w:b w:val="false"/>
                <w:bCs w:val="false"/>
              </w:rPr>
              <w:t xml:space="preserve">Řešeny jako akce s kapacitou 1. Hanka vypisuje volné termíny hromadně generátorem. Délka masáže je pevná (zákazník ji nevolí), ale jde o nastavitelný parametr služby (výchozí 60 min).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notifikací z UniCredit Bank doručených do jedné konkrétní schránky, nikoli napojení na účetní software nebo PSD2 API.</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UniCredit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Individuální termín</w:t>
            </w:r>
          </w:p>
        </w:tc>
        <w:tc>
          <w:tcPr>
            <w:tcW w:type="dxa" w:w="3200"/>
            <w:tcMar>
              <w:top w:type="dxa" w:w="80"/>
              <w:left w:type="dxa" w:w="100"/>
              <w:bottom w:type="dxa" w:w="80"/>
              <w:right w:type="dxa" w:w="100"/>
            </w:tcMar>
          </w:tcPr>
          <w:p>
            <w:r>
              <w:rPr>
                <w:b w:val="false"/>
                <w:bCs w:val="false"/>
              </w:rPr>
              <w:t xml:space="preserve">Bukální masáž, 60 min</w:t>
            </w:r>
          </w:p>
        </w:tc>
        <w:tc>
          <w:tcPr>
            <w:tcW w:type="dxa" w:w="3800"/>
            <w:tcMar>
              <w:top w:type="dxa" w:w="80"/>
              <w:left w:type="dxa" w:w="100"/>
              <w:bottom w:type="dxa" w:w="80"/>
              <w:right w:type="dxa" w:w="100"/>
            </w:tcMar>
          </w:tcPr>
          <w:p>
            <w:r>
              <w:rPr>
                <w:b w:val="false"/>
                <w:bCs w:val="false"/>
              </w:rPr>
              <w:t xml:space="preserve">Akce s kapacitou 1, vzniká generátorem termínů ze služby (kap. 3.4)</w:t>
            </w:r>
          </w:p>
        </w:tc>
      </w:tr>
      <w:tr>
        <w:tc>
          <w:tcPr>
            <w:tcW w:type="dxa" w:w="2400"/>
            <w:tcMar>
              <w:top w:type="dxa" w:w="80"/>
              <w:left w:type="dxa" w:w="100"/>
              <w:bottom w:type="dxa" w:w="80"/>
              <w:right w:type="dxa" w:w="100"/>
            </w:tcMar>
          </w:tcPr>
          <w:p>
            <w:r>
              <w:rPr>
                <w:b w:val="false"/>
                <w:bCs w:val="false"/>
              </w:rPr>
              <w:t xml:space="preserve">Opakovaná akce (2. etapa)</w:t>
            </w:r>
          </w:p>
        </w:tc>
        <w:tc>
          <w:tcPr>
            <w:tcW w:type="dxa" w:w="3200"/>
            <w:tcMar>
              <w:top w:type="dxa" w:w="80"/>
              <w:left w:type="dxa" w:w="100"/>
              <w:bottom w:type="dxa" w:w="80"/>
              <w:right w:type="dxa" w:w="100"/>
            </w:tcMar>
          </w:tcPr>
          <w:p>
            <w:r>
              <w:rPr>
                <w:b w:val="false"/>
                <w:bCs w:val="false"/>
              </w:rPr>
              <w:t xml:space="preserve">Pravidelná lekce každé úterý 18:00–19:30</w:t>
            </w:r>
          </w:p>
        </w:tc>
        <w:tc>
          <w:tcPr>
            <w:tcW w:type="dxa" w:w="3800"/>
            <w:tcMar>
              <w:top w:type="dxa" w:w="80"/>
              <w:left w:type="dxa" w:w="100"/>
              <w:bottom w:type="dxa" w:w="80"/>
              <w:right w:type="dxa" w:w="100"/>
            </w:tcMar>
          </w:tcPr>
          <w:p>
            <w:r>
              <w:rPr>
                <w:b w:val="false"/>
                <w:bCs w:val="false"/>
              </w:rPr>
              <w:t xml:space="preserve">Generuje samostatné termíny, každý s vlastní kapacitou a rezervacemi – viz otevřená otázka 10</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u individuálního termínu vždy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Doba splatnosti</w:t>
            </w:r>
          </w:p>
        </w:tc>
        <w:tc>
          <w:tcPr>
            <w:tcW w:type="dxa" w:w="6800"/>
            <w:tcMar>
              <w:top w:type="dxa" w:w="80"/>
              <w:left w:type="dxa" w:w="100"/>
              <w:bottom w:type="dxa" w:w="80"/>
              <w:right w:type="dxa" w:w="100"/>
            </w:tcMar>
          </w:tcPr>
          <w:p>
            <w:r>
              <w:rPr>
                <w:b w:val="false"/>
                <w:bCs w:val="false"/>
              </w:rPr>
              <w:t xml:space="preserve">Ve dnech od vystavení platebního pokynu; výchozí globální hodnota s možností přepsat u akce. Splatnost nikdy nepřesáhne začátek akce (kap. 3.6)</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Individuální termíny (masáže) – akce s kapacitou 1</w:t>
      </w:r>
    </w:p>
    <w:p>
      <w:pPr>
        <w:spacing w:after="140" w:line="300"/>
      </w:pPr>
      <w:r>
        <w:t xml:space="preserve">Masáže a další individuální služby se nerezervují výpočtem volné dostupnosti, ale jako předem vypsané termíny s kapacitou 1. Rezervace termínu tak probíhá stejným tokem jako u skupinových akcí.</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termín</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Výchozí splatnost pro termíny této služby (kap. 3.6)</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(Rezervace → Služby). Při generování se údaje služby (délka, cena, místo, kategorie, splatnost) zkopírují do každého termínu. Pozdější změna služby se proto týká jen nově vygenerovaných termínů; již vypsané termíny zůstávají beze změny.</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Rezervace na poslední chvíli a platba na místě</w:t>
      </w:r>
    </w:p>
    <w:p>
      <w:pPr>
        <w:spacing w:after="140" w:line="300"/>
      </w:pPr>
      <w:r>
        <w:t xml:space="preserve">Akci i individuální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Splatnost platebního pokynu je dřívější z hodnot „nastavená splatnost“ a „začátek akce/termínu“.</w:t>
      </w:r>
    </w:p>
    <w:p>
      <w:pPr>
        <w:pStyle w:val="ListParagraph"/>
        <w:numPr>
          <w:ilvl w:val="0"/>
          <w:numId w:val="1"/>
        </w:numPr>
        <w:spacing w:after="80" w:line="280"/>
      </w:pPr>
      <w:r>
        <w:t xml:space="preserve">Rezervace vytvořená méně než X hodin před začátkem (parametr „Hranice pro platbu na místě“, výchozí 24 h, nastavitelný) dostane platební pokyn s QR kódem i informaci, že pokud platba nestihne dorazit,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Hanka po přijetí platby na místě označí rezervaci v administraci jako zaplacenou (způsob úhrady „na místě“). Dorazí-li převod později, modul kontroly plateb ho spáruje standardně.</w:t>
      </w:r>
    </w:p>
    <w:p>
      <w:pPr>
        <w:pStyle w:val="ListParagraph"/>
        <w:numPr>
          <w:ilvl w:val="0"/>
          <w:numId w:val="1"/>
        </w:numPr>
        <w:spacing w:after="80" w:line="280"/>
      </w:pPr>
      <w:r>
        <w:t xml:space="preserve">Rezervace vytvořené s dostatečným předstihem se řídí běžnou splatností a expirací (kap. 7.2b).</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Jedinou platební možností je „Bankovní převod (QR platba)“.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zablokuje jedno místo a přidělí jí unikátní VS (kap. 5.3).</w:t>
      </w:r>
    </w:p>
    <w:p>
      <w:pPr>
        <w:pStyle w:val="ListParagraph"/>
        <w:numPr>
          <w:ilvl w:val="0"/>
          <w:numId w:val="5"/>
        </w:numPr>
        <w:spacing w:after="80" w:line="280"/>
      </w:pPr>
      <w:r>
        <w:t xml:space="preserve">Systém odešle e-mail s platebním pokynem a QR kódem (kap. 5)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Menu „Rezervace“: Rezervace, Nová rezervace,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individuální termín má kapacitu 1;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na místě“.</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splatnost, hranice pro platbu na místě (3.6), parametry služeb (délka, pauza),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(se zástupnými proměnnými: jméno, akce, termín, místo, částka, VS). Odesílání přes transakční SMTP/API službu, ne přes výchozí WP mail()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UniCredit.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podnikatelského účtu Hanky u UniCredit Bank</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Např. název akce / jméno zákazníka</w:t>
            </w:r>
          </w:p>
        </w:tc>
      </w:tr>
    </w:tbl>
    <w:p>
      <w:pPr>
        <w:spacing w:after="80"/>
      </w:pPr>
    </w:p>
    <w:p>
      <w:pPr>
        <w:spacing w:after="140" w:line="300"/>
      </w:pPr>
      <w:r>
        <w:rPr>
          <w:b/>
          <w:bCs/>
        </w:rPr>
        <w:t xml:space="preserve">Implementace: </w:t>
      </w:r>
      <w:r>
        <w:t xml:space="preserve">při vytvoření rezervace rezervační modul vygeneruje SPD řetězec a z něj QR kód (PHP knihovna pro QR kódy). QR kód i platební údaje se vloží do PDF platebního pokynu (proforma) a do těla e-mailu.</w:t>
      </w:r>
    </w:p>
    <w:p>
      <w:pPr>
        <w:pStyle w:val="Heading2"/>
        <w:spacing w:after="120" w:before="300"/>
      </w:pPr>
      <w:r>
        <w:t xml:space="preserve">5.2 Obsah platebního pokynu (proformy)</w:t>
      </w:r>
    </w:p>
    <w:p>
      <w:pPr>
        <w:pStyle w:val="ListParagraph"/>
        <w:numPr>
          <w:ilvl w:val="0"/>
          <w:numId w:val="1"/>
        </w:numPr>
        <w:spacing w:after="80" w:line="280"/>
      </w:pPr>
      <w:r>
        <w:t xml:space="preserve">Hlavička: jméno a IČ Hanky Vildomcové (bez DIČ, pokud není plátce DPH – otevřená otázka 5), logo webu</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w:t>
      </w:r>
    </w:p>
    <w:p>
      <w:pPr>
        <w:pStyle w:val="ListParagraph"/>
        <w:numPr>
          <w:ilvl w:val="0"/>
          <w:numId w:val="1"/>
        </w:numPr>
        <w:spacing w:after="80" w:line="280"/>
      </w:pPr>
      <w:r>
        <w:t xml:space="preserve">Odkaz „stáhnout jako PDF“ (viz 5.4)</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Shrnutí rezervace, platební údaje a QR kód přímo v těle e-mailu (jako obrázek).</w:t>
      </w:r>
    </w:p>
    <w:p>
      <w:pPr>
        <w:pStyle w:val="ListParagraph"/>
        <w:numPr>
          <w:ilvl w:val="0"/>
          <w:numId w:val="1"/>
        </w:numPr>
        <w:spacing w:after="80" w:line="280"/>
      </w:pPr>
      <w:r>
        <w:t xml:space="preserve">Odkaz na stažení PDF proformy – jedinečná, netriviálně uhodnutelná URL (token vázaný na rezervaci), platná i po expiraci pro archivaci zákazníkem.</w:t>
      </w:r>
    </w:p>
    <w:p>
      <w:pPr>
        <w:pStyle w:val="ListParagraph"/>
        <w:numPr>
          <w:ilvl w:val="0"/>
          <w:numId w:val="1"/>
        </w:numPr>
        <w:spacing w:after="80" w:line="280"/>
      </w:pPr>
      <w:r>
        <w:t xml:space="preserve">PDF může být zároveň přiloženo k e-mailu; odkaz slouží pro pozdější opětovné stažení.</w:t>
      </w:r>
    </w:p>
    <w:p>
      <w:pPr>
        <w:pStyle w:val="Heading1"/>
        <w:pBdr>
          <w:bottom w:val="single" w:color="AE9333" w:sz="6" w:space="4"/>
        </w:pBdr>
        <w:spacing w:after="200" w:before="400"/>
      </w:pPr>
      <w:r>
        <w:t xml:space="preserve">6. 3) Kontrola plateb – párování e-mailových notifikací UniCredit Bank ve WordPressu</w:t>
      </w:r>
    </w:p>
    <w:p>
      <w:pPr>
        <w:pStyle w:val="Heading2"/>
        <w:spacing w:after="120" w:before="300"/>
      </w:pPr>
      <w:r>
        <w:t xml:space="preserve">6.1 Architektura</w:t>
      </w:r>
    </w:p>
    <w:p>
      <w:pPr>
        <w:spacing w:after="140" w:line="300"/>
      </w:pPr>
      <w:r>
        <w:t xml:space="preserve">UniCredit Bank zasílá e-mailové avízo o pohybech na účtu na zvolenou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Z e-mailů od UniCredit Bank modul extrahuje částku a variabilní symbol (regulárním výrazem/šablonou dle skutečného formátu – otevřená otázka 3).</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a avízo se označí jako zpracované.</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Klíčový vstupní podklad, který zatím chybí</w:t>
      </w:r>
    </w:p>
    <w:p>
      <w:pPr>
        <w:spacing w:after="140" w:line="300"/>
      </w:pPr>
      <w:r>
        <w:t xml:space="preserve">Přesný formát e-mailové notifikace z UniCredit Bank (jak je uvedena částka, zda a jak je uveden variabilní symbol) není k dispozici a je nezbytným vstupem pro návrh parseru.</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Může zadavatelka poskytnout 2–3 reálné (nebo anonymizované) ukázky avíza o příchozí platbě z UniCredit Bank, ideálně s VS i bez VS?</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rezervačního modulu seznam nespárovaných avíz s možností ručně přiřadit platbu k rezervaci.</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Kdy se provádí kontrola rezervací po splatnosti (kap. 7.2b). Výchozí: 1× denně v nastavený čas a navíc při každém běhu u rezervací s krátkou splatností.</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port (993), šifrování, uživatel, aplikační heslo – uloženo v wp-config.php nebo šifrovaně v DB.</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Adresa/doména UniCredit Bank, ze které se avíza akceptují.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volá v pevném kroku (např. každých 15 min) zabezpečený spouštěcí skript (PHP CLI mimo veřejnou URL, nebo HTTPS URL s tajným tokenem). Modul sám podle režimu a intervalu rozhodne, zda je čas na kontrolu – změna intervalu se provádí jen v administraci.</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Předpoklad k ověření: IMAP z PHP na Active24 (php-imap nebo čistě PHP knihovna, např. Webklex/php-imap) a odchozí spojení na port 993 – otevřená otázka 8.</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Rezervace na poslední chvíli (kap. 3.6), jejíž platba do začátku akce nedorazila</w:t>
            </w:r>
          </w:p>
        </w:tc>
        <w:tc>
          <w:tcPr>
            <w:tcW w:type="dxa" w:w="3800"/>
            <w:tcMar>
              <w:top w:type="dxa" w:w="80"/>
              <w:left w:type="dxa" w:w="100"/>
              <w:bottom w:type="dxa" w:w="80"/>
              <w:right w:type="dxa" w:w="100"/>
            </w:tcMar>
          </w:tcPr>
          <w:p>
            <w:r>
              <w:rPr>
                <w:b w:val="false"/>
                <w:bCs w:val="false"/>
              </w:rPr>
              <w:t xml:space="preserve">Místo zůstává blokované; Hanka po zaplacení na místě označí rezervaci ručně jako zaplacenou</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Pro logiku 7.2b</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nebo platba na místě (označeno ručně);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reálného avíza o platbě z UniCredit Bank (2–3 ukázky) – nezbytný vstup pro parser (kap. 6.2).</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UniCredit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a pauza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Splatnost platebního pokynu nikdy nepřesáhne začátek akce/termínu.</w:t>
      </w:r>
    </w:p>
    <w:p>
      <w:pPr>
        <w:pStyle w:val="ListParagraph"/>
        <w:numPr>
          <w:ilvl w:val="0"/>
          <w:numId w:val="1"/>
        </w:numPr>
        <w:spacing w:after="80" w:line="280"/>
      </w:pPr>
      <w:r>
        <w:t xml:space="preserve">Vygenerovaný QR kód rozpozná bankovní aplikace (min. UniCredit) a předvyplní částku, účet i VS.</w:t>
      </w:r>
    </w:p>
    <w:p>
      <w:pPr>
        <w:pStyle w:val="ListParagraph"/>
        <w:numPr>
          <w:ilvl w:val="0"/>
          <w:numId w:val="1"/>
        </w:numPr>
        <w:spacing w:after="80" w:line="280"/>
      </w:pPr>
      <w:r>
        <w:t xml:space="preserve">E-mail s platebním pokynem dorazí do 1 minuty; odkaz na PDF funguje i po několika dnech.</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UniCredit 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Fio, ČSOB, KB, Raiffeisenbank)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1"/>
        <w:pBdr>
          <w:bottom w:val="single" w:color="AE9333" w:sz="6" w:space="4"/>
        </w:pBdr>
        <w:spacing w:after="200" w:before="400"/>
      </w:pPr>
      <w:r>
        <w:t xml:space="preserve">15. Stav realizace (k 21.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0.3.0–0.3.1</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w:t>
            </w:r>
          </w:p>
        </w:tc>
        <w:tc>
          <w:tcPr>
            <w:tcW w:type="dxa" w:w="2200"/>
            <w:tcMar>
              <w:top w:type="dxa" w:w="80"/>
              <w:left w:type="dxa" w:w="100"/>
              <w:bottom w:type="dxa" w:w="80"/>
              <w:right w:type="dxa" w:w="100"/>
            </w:tcMar>
          </w:tcPr>
          <w:p>
            <w:r>
              <w:rPr>
                <w:b w:val="false"/>
                <w:bCs w:val="false"/>
              </w:rPr>
              <w:t xml:space="preserve">Hotovo, 0.3.1 k nasazení</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QR platba (SPD), PDF platebního pokynu</w:t>
            </w:r>
          </w:p>
        </w:tc>
        <w:tc>
          <w:tcPr>
            <w:tcW w:type="dxa" w:w="2200"/>
            <w:tcMar>
              <w:top w:type="dxa" w:w="80"/>
              <w:left w:type="dxa" w:w="100"/>
              <w:bottom w:type="dxa" w:w="80"/>
              <w:right w:type="dxa" w:w="100"/>
            </w:tcMar>
          </w:tcPr>
          <w:p>
            <w:r>
              <w:rPr>
                <w:b w:val="false"/>
                <w:bCs w:val="false"/>
              </w:rPr>
              <w:t xml:space="preserve">Čeká – potřeba číslo účtu a IBAN</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Kontrola plateb z avíz UniCredit (CRON Active24)</w:t>
            </w:r>
          </w:p>
        </w:tc>
        <w:tc>
          <w:tcPr>
            <w:tcW w:type="dxa" w:w="2200"/>
            <w:tcMar>
              <w:top w:type="dxa" w:w="80"/>
              <w:left w:type="dxa" w:w="100"/>
              <w:bottom w:type="dxa" w:w="80"/>
              <w:right w:type="dxa" w:w="100"/>
            </w:tcMar>
          </w:tcPr>
          <w:p>
            <w:r>
              <w:rPr>
                <w:b w:val="false"/>
                <w:bCs w:val="false"/>
              </w:rPr>
              <w:t xml:space="preserve">Čeká – vzorek avíza, ověření hostingu</w:t>
            </w:r>
          </w:p>
        </w:tc>
      </w:tr>
      <w:tr>
        <w:tc>
          <w:tcPr>
            <w:tcW w:type="dxa" w:w="1100"/>
            <w:tcMar>
              <w:top w:type="dxa" w:w="80"/>
              <w:left w:type="dxa" w:w="100"/>
              <w:bottom w:type="dxa" w:w="80"/>
              <w:right w:type="dxa" w:w="100"/>
            </w:tcMar>
          </w:tcPr>
          <w:p>
            <w:r>
              <w:rPr>
                <w:b w:val="false"/>
                <w:bCs w:val="false"/>
              </w:rPr>
              <w:t xml:space="preserve">E6</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Expirace, Ultimate Member, MailerLite</w:t>
            </w:r>
          </w:p>
        </w:tc>
        <w:tc>
          <w:tcPr>
            <w:tcW w:type="dxa" w:w="2200"/>
            <w:tcMar>
              <w:top w:type="dxa" w:w="80"/>
              <w:left w:type="dxa" w:w="100"/>
              <w:bottom w:type="dxa" w:w="80"/>
              <w:right w:type="dxa" w:w="100"/>
            </w:tcMar>
          </w:tcPr>
          <w:p>
            <w:r>
              <w:rPr>
                <w:b w:val="false"/>
                <w:bCs w:val="false"/>
              </w:rPr>
              <w:t xml:space="preserve">Plánováno</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Chybí: číslo účtu a IBAN (pro E4),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