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UniCredit Bank (výhradně ve WordPressu) a správu stavu úhrady</w:t>
      </w:r>
    </w:p>
    <w:p>
      <w:pPr>
        <w:spacing w:before="800"/>
        <w:jc w:val="center"/>
      </w:pPr>
      <w:r>
        <w:rPr>
          <w:color w:val="666666"/>
          <w:sz w:val="20"/>
          <w:szCs w:val="20"/>
        </w:rPr>
        <w:t xml:space="preserve">Verze 1.5 · 21. října 2026</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Verze</w:t>
            </w:r>
          </w:p>
        </w:tc>
        <w:tc>
          <w:tcPr>
            <w:tcW w:type="dxa" w:w="6800"/>
            <w:shd w:fill="AE9333" w:val="clear"/>
            <w:tcMar>
              <w:top w:type="dxa" w:w="80"/>
              <w:left w:type="dxa" w:w="100"/>
              <w:bottom w:type="dxa" w:w="80"/>
              <w:right w:type="dxa" w:w="100"/>
            </w:tcMar>
          </w:tcPr>
          <w:p>
            <w:r>
              <w:rPr>
                <w:b/>
                <w:bCs/>
                <w:color w:val="FFFFFF"/>
              </w:rPr>
              <w:t xml:space="preserve">Změny</w:t>
            </w:r>
          </w:p>
        </w:tc>
      </w:tr>
      <w:tr>
        <w:tc>
          <w:tcPr>
            <w:tcW w:type="dxa" w:w="2600"/>
            <w:tcMar>
              <w:top w:type="dxa" w:w="80"/>
              <w:left w:type="dxa" w:w="100"/>
              <w:bottom w:type="dxa" w:w="80"/>
              <w:right w:type="dxa" w:w="100"/>
            </w:tcMar>
          </w:tcPr>
          <w:p>
            <w:r>
              <w:rPr>
                <w:b w:val="false"/>
                <w:bCs w:val="false"/>
              </w:rPr>
              <w:t xml:space="preserve">1.0 · 28. 8. 2026</w:t>
            </w:r>
          </w:p>
        </w:tc>
        <w:tc>
          <w:tcPr>
            <w:tcW w:type="dxa" w:w="6800"/>
            <w:tcMar>
              <w:top w:type="dxa" w:w="80"/>
              <w:left w:type="dxa" w:w="100"/>
              <w:bottom w:type="dxa" w:w="80"/>
              <w:right w:type="dxa" w:w="100"/>
            </w:tcMar>
          </w:tcPr>
          <w:p>
            <w:r>
              <w:rPr>
                <w:b w:val="false"/>
                <w:bCs w:val="false"/>
              </w:rPr>
              <w:t xml:space="preserve">První verze analytického zadání.</w:t>
            </w:r>
          </w:p>
        </w:tc>
      </w:tr>
      <w:tr>
        <w:tc>
          <w:tcPr>
            <w:tcW w:type="dxa" w:w="2600"/>
            <w:tcMar>
              <w:top w:type="dxa" w:w="80"/>
              <w:left w:type="dxa" w:w="100"/>
              <w:bottom w:type="dxa" w:w="80"/>
              <w:right w:type="dxa" w:w="100"/>
            </w:tcMar>
          </w:tcPr>
          <w:p>
            <w:r>
              <w:rPr>
                <w:b w:val="false"/>
                <w:bCs w:val="false"/>
              </w:rPr>
              <w:t xml:space="preserve">1.1 · 20. 10. 2026</w:t>
            </w:r>
          </w:p>
        </w:tc>
        <w:tc>
          <w:tcPr>
            <w:tcW w:type="dxa" w:w="68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2600"/>
            <w:tcMar>
              <w:top w:type="dxa" w:w="80"/>
              <w:left w:type="dxa" w:w="100"/>
              <w:bottom w:type="dxa" w:w="80"/>
              <w:right w:type="dxa" w:w="100"/>
            </w:tcMar>
          </w:tcPr>
          <w:p>
            <w:r>
              <w:rPr>
                <w:b w:val="false"/>
                <w:bCs w:val="false"/>
              </w:rPr>
              <w:t xml:space="preserve">1.2 · 20. 10. 2026</w:t>
            </w:r>
          </w:p>
        </w:tc>
        <w:tc>
          <w:tcPr>
            <w:tcW w:type="dxa" w:w="68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2600"/>
            <w:tcMar>
              <w:top w:type="dxa" w:w="80"/>
              <w:left w:type="dxa" w:w="100"/>
              <w:bottom w:type="dxa" w:w="80"/>
              <w:right w:type="dxa" w:w="100"/>
            </w:tcMar>
          </w:tcPr>
          <w:p>
            <w:r>
              <w:rPr>
                <w:b w:val="false"/>
                <w:bCs w:val="false"/>
              </w:rPr>
              <w:t xml:space="preserve">1.3 · 21. 10. 2026</w:t>
            </w:r>
          </w:p>
        </w:tc>
        <w:tc>
          <w:tcPr>
            <w:tcW w:type="dxa" w:w="68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2600"/>
            <w:tcMar>
              <w:top w:type="dxa" w:w="80"/>
              <w:left w:type="dxa" w:w="100"/>
              <w:bottom w:type="dxa" w:w="80"/>
              <w:right w:type="dxa" w:w="100"/>
            </w:tcMar>
          </w:tcPr>
          <w:p>
            <w:r>
              <w:rPr>
                <w:b w:val="false"/>
                <w:bCs w:val="false"/>
              </w:rPr>
              <w:t xml:space="preserve">1.4 · 21. 10. 2026</w:t>
            </w:r>
          </w:p>
        </w:tc>
        <w:tc>
          <w:tcPr>
            <w:tcW w:type="dxa" w:w="68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2600"/>
            <w:tcMar>
              <w:top w:type="dxa" w:w="80"/>
              <w:left w:type="dxa" w:w="100"/>
              <w:bottom w:type="dxa" w:w="80"/>
              <w:right w:type="dxa" w:w="100"/>
            </w:tcMar>
          </w:tcPr>
          <w:p>
            <w:r>
              <w:rPr>
                <w:b w:val="false"/>
                <w:bCs w:val="false"/>
              </w:rPr>
              <w:t xml:space="preserve">1.5 · 21. 10. 2026</w:t>
            </w:r>
          </w:p>
        </w:tc>
        <w:tc>
          <w:tcPr>
            <w:tcW w:type="dxa" w:w="68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UniCredit 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Individuální termíny (masáže)</w:t>
            </w:r>
          </w:p>
        </w:tc>
        <w:tc>
          <w:tcPr>
            <w:tcW w:type="dxa" w:w="6800"/>
            <w:tcMar>
              <w:top w:type="dxa" w:w="80"/>
              <w:left w:type="dxa" w:w="100"/>
              <w:bottom w:type="dxa" w:w="80"/>
              <w:right w:type="dxa" w:w="100"/>
            </w:tcMar>
          </w:tcPr>
          <w:p>
            <w:r>
              <w:rPr>
                <w:b w:val="false"/>
                <w:bCs w:val="false"/>
              </w:rPr>
              <w:t xml:space="preserve">Řešeny jako akce s kapacitou 1. Hanka vypisuje volné termíny hromadně generátorem. Délka masáže je pevná (zákazník ji nevolí), ale jde o nastavitelný parametr služby (výchozí 60 min).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notifikací z UniCredit Bank doručených do jedné konkrétní schránky, nikoli napojení na účetní software nebo PSD2 API.</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UniCredit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Individuální termín</w:t>
            </w:r>
          </w:p>
        </w:tc>
        <w:tc>
          <w:tcPr>
            <w:tcW w:type="dxa" w:w="3200"/>
            <w:tcMar>
              <w:top w:type="dxa" w:w="80"/>
              <w:left w:type="dxa" w:w="100"/>
              <w:bottom w:type="dxa" w:w="80"/>
              <w:right w:type="dxa" w:w="100"/>
            </w:tcMar>
          </w:tcPr>
          <w:p>
            <w:r>
              <w:rPr>
                <w:b w:val="false"/>
                <w:bCs w:val="false"/>
              </w:rPr>
              <w:t xml:space="preserve">Bukální masáž, 60 min</w:t>
            </w:r>
          </w:p>
        </w:tc>
        <w:tc>
          <w:tcPr>
            <w:tcW w:type="dxa" w:w="3800"/>
            <w:tcMar>
              <w:top w:type="dxa" w:w="80"/>
              <w:left w:type="dxa" w:w="100"/>
              <w:bottom w:type="dxa" w:w="80"/>
              <w:right w:type="dxa" w:w="100"/>
            </w:tcMar>
          </w:tcPr>
          <w:p>
            <w:r>
              <w:rPr>
                <w:b w:val="false"/>
                <w:bCs w:val="false"/>
              </w:rPr>
              <w:t xml:space="preserve">Akce s kapacitou 1, vzniká generátorem termínů ze služby (kap. 3.4)</w:t>
            </w:r>
          </w:p>
        </w:tc>
      </w:tr>
      <w:tr>
        <w:tc>
          <w:tcPr>
            <w:tcW w:type="dxa" w:w="2400"/>
            <w:tcMar>
              <w:top w:type="dxa" w:w="80"/>
              <w:left w:type="dxa" w:w="100"/>
              <w:bottom w:type="dxa" w:w="80"/>
              <w:right w:type="dxa" w:w="100"/>
            </w:tcMar>
          </w:tcPr>
          <w:p>
            <w:r>
              <w:rPr>
                <w:b w:val="false"/>
                <w:bCs w:val="false"/>
              </w:rPr>
              <w:t xml:space="preserve">Opakovaná akce (2. etapa)</w:t>
            </w:r>
          </w:p>
        </w:tc>
        <w:tc>
          <w:tcPr>
            <w:tcW w:type="dxa" w:w="3200"/>
            <w:tcMar>
              <w:top w:type="dxa" w:w="80"/>
              <w:left w:type="dxa" w:w="100"/>
              <w:bottom w:type="dxa" w:w="80"/>
              <w:right w:type="dxa" w:w="100"/>
            </w:tcMar>
          </w:tcPr>
          <w:p>
            <w:r>
              <w:rPr>
                <w:b w:val="false"/>
                <w:bCs w:val="false"/>
              </w:rPr>
              <w:t xml:space="preserve">Pravidelná lekce každé úterý 18:00–19:30</w:t>
            </w:r>
          </w:p>
        </w:tc>
        <w:tc>
          <w:tcPr>
            <w:tcW w:type="dxa" w:w="3800"/>
            <w:tcMar>
              <w:top w:type="dxa" w:w="80"/>
              <w:left w:type="dxa" w:w="100"/>
              <w:bottom w:type="dxa" w:w="80"/>
              <w:right w:type="dxa" w:w="100"/>
            </w:tcMar>
          </w:tcPr>
          <w:p>
            <w:r>
              <w:rPr>
                <w:b w:val="false"/>
                <w:bCs w:val="false"/>
              </w:rPr>
              <w:t xml:space="preserve">Generuje samostatné termíny, každý s vlastní kapacitou a rezervacemi – viz otevřená otázka 10</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u individuálního termínu vždy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Doba splatnosti</w:t>
            </w:r>
          </w:p>
        </w:tc>
        <w:tc>
          <w:tcPr>
            <w:tcW w:type="dxa" w:w="6800"/>
            <w:tcMar>
              <w:top w:type="dxa" w:w="80"/>
              <w:left w:type="dxa" w:w="100"/>
              <w:bottom w:type="dxa" w:w="80"/>
              <w:right w:type="dxa" w:w="100"/>
            </w:tcMar>
          </w:tcPr>
          <w:p>
            <w:r>
              <w:rPr>
                <w:b w:val="false"/>
                <w:bCs w:val="false"/>
              </w:rPr>
              <w:t xml:space="preserve">Ve dnech od vystavení platebního pokynu; výchozí globální hodnota s možností přepsat u akce. Splatnost nikdy nepřesáhne začátek akce (kap. 3.6)</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Individuální termíny (masáže) – akce s kapacitou 1</w:t>
      </w:r>
    </w:p>
    <w:p>
      <w:pPr>
        <w:spacing w:after="140" w:line="300"/>
      </w:pPr>
      <w:r>
        <w:t xml:space="preserve">Masáže a další individuální služby se nerezervují výpočtem volné dostupnosti, ale jako předem vypsané termíny s kapacitou 1. Rezervace termínu tak probíhá stejným tokem jako u skupinových akcí.</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termín</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Výchozí splatnost pro termíny této služby (kap. 3.6)</w:t>
            </w:r>
          </w:p>
        </w:tc>
      </w:tr>
    </w:tbl>
    <w:p>
      <w:pPr>
        <w:spacing w:after="80"/>
      </w:pP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(např. 4 týdny dopředu). Generátor vytvoří termíny podle délky služby a pauzy (např. 9:00, 10:15, 11:30 …).</w:t>
      </w:r>
    </w:p>
    <w:p>
      <w:pPr>
        <w:pStyle w:val="ListParagraph"/>
        <w:numPr>
          <w:ilvl w:val="0"/>
          <w:numId w:val="1"/>
        </w:numPr>
        <w:spacing w:after="80" w:line="280"/>
      </w:pPr>
      <w:r>
        <w:t xml:space="preserve">Před uložením se zobrazí náhled vytvářených termínů; jednotlivé termíny lze z náhledu vyřadit.</w:t>
      </w:r>
    </w:p>
    <w:p>
      <w:pPr>
        <w:pStyle w:val="ListParagraph"/>
        <w:numPr>
          <w:ilvl w:val="0"/>
          <w:numId w:val="1"/>
        </w:numPr>
        <w:spacing w:after="80" w:line="280"/>
      </w:pPr>
      <w:r>
        <w:t xml:space="preserve">Hromadné zrušení termínů za zvolené období (nemoc, dovolená). Volné termíny se smažou; u obsazených systém upozorní a nabídne zrušení s e-mailem zákaznici.</w:t>
      </w:r>
    </w:p>
    <w:p>
      <w:pPr>
        <w:pStyle w:val="ListParagraph"/>
        <w:numPr>
          <w:ilvl w:val="0"/>
          <w:numId w:val="1"/>
        </w:numPr>
        <w:spacing w:after="80" w:line="280"/>
      </w:pPr>
      <w:r>
        <w:t xml:space="preserve">Změna délky služby nebo pauzy se projeví u nově generovaných termínů; již vypsané termíny zůstávají beze změny.</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Samostatný pohled „Volné termíny“ u každé služby: výběr dne v kalendáři → seznam volných časů → rezervační formulář.</w:t>
      </w:r>
    </w:p>
    <w:p>
      <w:pPr>
        <w:pStyle w:val="ListParagraph"/>
        <w:numPr>
          <w:ilvl w:val="0"/>
          <w:numId w:val="1"/>
        </w:numPr>
        <w:spacing w:after="80" w:line="280"/>
      </w:pPr>
      <w:r>
        <w:t xml:space="preserve">Obsazené a prošlé termíny se nezobrazují. Hlavní kalendář akcí ukazuje jen skupinové akce, aby ho jednomístné termíny nezahltily.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Rezervace na poslední chvíli a platba na místě</w:t>
      </w:r>
    </w:p>
    <w:p>
      <w:pPr>
        <w:spacing w:after="140" w:line="300"/>
      </w:pPr>
      <w:r>
        <w:t xml:space="preserve">Akci i individuální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Splatnost platebního pokynu je dřívější z hodnot „nastavená splatnost“ a „začátek akce/termínu“.</w:t>
      </w:r>
    </w:p>
    <w:p>
      <w:pPr>
        <w:pStyle w:val="ListParagraph"/>
        <w:numPr>
          <w:ilvl w:val="0"/>
          <w:numId w:val="1"/>
        </w:numPr>
        <w:spacing w:after="80" w:line="280"/>
      </w:pPr>
      <w:r>
        <w:t xml:space="preserve">Rezervace vytvořená méně než X hodin před začátkem (parametr „Hranice pro platbu na místě“, výchozí 24 h, nastavitelný) dostane platební pokyn s QR kódem i informaci, že pokud platba nestihne dorazit, lze zaplatit na místě.</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Hanka po přijetí platby na místě označí rezervaci v administraci jako zaplacenou (způsob úhrady „na místě“). Dorazí-li převod později, modul kontroly plateb ho spáruje standardně.</w:t>
      </w:r>
    </w:p>
    <w:p>
      <w:pPr>
        <w:pStyle w:val="ListParagraph"/>
        <w:numPr>
          <w:ilvl w:val="0"/>
          <w:numId w:val="1"/>
        </w:numPr>
        <w:spacing w:after="80" w:line="280"/>
      </w:pPr>
      <w:r>
        <w:t xml:space="preserve">Rezervace vytvořené s dostatečným předstihem se řídí běžnou splatností a expirací (kap. 7.2b).</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Jedinou platební možností je „Bankovní převod (QR platba)“. Vzhled odpovídá grafickému manuálu (#ae9333 / #f3cb33).</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zablokuje jedno místo a přidělí jí unikátní VS (kap. 5.3).</w:t>
      </w:r>
    </w:p>
    <w:p>
      <w:pPr>
        <w:pStyle w:val="ListParagraph"/>
        <w:numPr>
          <w:ilvl w:val="0"/>
          <w:numId w:val="5"/>
        </w:numPr>
        <w:spacing w:after="80" w:line="280"/>
      </w:pPr>
      <w:r>
        <w:t xml:space="preserve">Systém odešle e-mail s platebním pokynem a QR kódem (kap. 5)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Měsíční kalendář akcí a seznam nadcházejících akcí, s filtrem podle kategorie.</w:t>
      </w:r>
    </w:p>
    <w:p>
      <w:pPr>
        <w:pStyle w:val="ListParagraph"/>
        <w:numPr>
          <w:ilvl w:val="0"/>
          <w:numId w:val="1"/>
        </w:numPr>
        <w:spacing w:after="80" w:line="280"/>
      </w:pPr>
      <w:r>
        <w:t xml:space="preserve">Karta akce: název, termín (u vícedenních od–do), místo, cena, počet volných míst, obrázek.</w:t>
      </w:r>
    </w:p>
    <w:p>
      <w:pPr>
        <w:pStyle w:val="ListParagraph"/>
        <w:numPr>
          <w:ilvl w:val="0"/>
          <w:numId w:val="1"/>
        </w:numPr>
        <w:spacing w:after="80" w:line="280"/>
      </w:pPr>
      <w:r>
        <w:t xml:space="preserve">Detail akce s popisem, programem (u vícedenních) a rezervačním formulářem.</w:t>
      </w:r>
    </w:p>
    <w:p>
      <w:pPr>
        <w:pStyle w:val="ListParagraph"/>
        <w:numPr>
          <w:ilvl w:val="0"/>
          <w:numId w:val="1"/>
        </w:numPr>
        <w:spacing w:after="80" w:line="280"/>
      </w:pPr>
      <w:r>
        <w:t xml:space="preserve">Vložení na stránky přes blok/shortcode, plně responzivní, styl dle grafického manuálu.</w:t>
      </w:r>
    </w:p>
    <w:p>
      <w:pPr>
        <w:pStyle w:val="ListParagraph"/>
        <w:numPr>
          <w:ilvl w:val="0"/>
          <w:numId w:val="1"/>
        </w:numPr>
        <w:spacing w:after="80" w:line="280"/>
      </w:pPr>
      <w:r>
        <w:t xml:space="preserve">Volitelně: odkaz „Přidat do kalendáře“ (.ics) v potvrzovacím e-mailu.</w:t>
      </w:r>
    </w:p>
    <w:p>
      <w:pPr>
        <w:pStyle w:val="Heading2"/>
        <w:spacing w:after="120" w:before="300"/>
      </w:pPr>
      <w:r>
        <w:t xml:space="preserve">4.4 Administrace pro Hanku</w:t>
      </w:r>
    </w:p>
    <w:p>
      <w:pPr>
        <w:pStyle w:val="ListParagraph"/>
        <w:numPr>
          <w:ilvl w:val="0"/>
          <w:numId w:val="1"/>
        </w:numPr>
        <w:spacing w:after="80" w:line="280"/>
      </w:pPr>
      <w:r>
        <w:t xml:space="preserve">Přehled akcí a termínů s obsazeností (rezervováno / zaplaceno / volno).</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na místě“.</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splatnost, hranice pro platbu na místě (3.6), parametry služeb (délka, pauza),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Připomínka platby (volitelně)</w:t>
            </w:r>
          </w:p>
        </w:tc>
        <w:tc>
          <w:tcPr>
            <w:tcW w:type="dxa" w:w="6400"/>
            <w:tcMar>
              <w:top w:type="dxa" w:w="80"/>
              <w:left w:type="dxa" w:w="100"/>
              <w:bottom w:type="dxa" w:w="80"/>
              <w:right w:type="dxa" w:w="100"/>
            </w:tcMar>
          </w:tcPr>
          <w:p>
            <w:r>
              <w:rPr>
                <w:b w:val="false"/>
                <w:bCs w:val="false"/>
              </w:rPr>
              <w:t xml:space="preserve">Před koncem splatnosti – otevřená otázka 7</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Expirace rezervace</w:t>
            </w:r>
          </w:p>
        </w:tc>
        <w:tc>
          <w:tcPr>
            <w:tcW w:type="dxa" w:w="6400"/>
            <w:tcMar>
              <w:top w:type="dxa" w:w="80"/>
              <w:left w:type="dxa" w:w="100"/>
              <w:bottom w:type="dxa" w:w="80"/>
              <w:right w:type="dxa" w:w="100"/>
            </w:tcMar>
          </w:tcPr>
          <w:p>
            <w:r>
              <w:rPr>
                <w:b w:val="false"/>
                <w:bCs w:val="false"/>
              </w:rPr>
              <w:t xml:space="preserve">Po uplynutí splatnosti bez platby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(se zástupnými proměnnými: jméno, akce, termín, místo, částka, VS). Odesílání přes transakční SMTP/API službu, ne přes výchozí WP mail() – viz otevřená otázka 9.</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UniCredit.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podnikatelského účtu Hanky u UniCredit Bank</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Např. název akce / jméno zákazníka</w:t>
            </w:r>
          </w:p>
        </w:tc>
      </w:tr>
    </w:tbl>
    <w:p>
      <w:pPr>
        <w:spacing w:after="80"/>
      </w:pPr>
    </w:p>
    <w:p>
      <w:pPr>
        <w:spacing w:after="140" w:line="300"/>
      </w:pPr>
      <w:r>
        <w:rPr>
          <w:b/>
          <w:bCs/>
        </w:rPr>
        <w:t xml:space="preserve">Implementace: </w:t>
      </w:r>
      <w:r>
        <w:t xml:space="preserve">při vytvoření rezervace rezervační modul vygeneruje SPD řetězec a z něj QR kód (PHP knihovna pro QR kódy). QR kód i platební údaje se vloží do PDF platebního pokynu (proforma) a do těla e-mailu.</w:t>
      </w:r>
    </w:p>
    <w:p>
      <w:pPr>
        <w:pStyle w:val="Heading2"/>
        <w:spacing w:after="120" w:before="300"/>
      </w:pPr>
      <w:r>
        <w:t xml:space="preserve">5.2 Obsah platebního pokynu (proformy)</w:t>
      </w:r>
    </w:p>
    <w:p>
      <w:pPr>
        <w:pStyle w:val="ListParagraph"/>
        <w:numPr>
          <w:ilvl w:val="0"/>
          <w:numId w:val="1"/>
        </w:numPr>
        <w:spacing w:after="80" w:line="280"/>
      </w:pPr>
      <w:r>
        <w:t xml:space="preserve">Hlavička: jméno a IČ Hanky Vildomcové (bez DIČ, pokud není plátce DPH – otevřená otázka 5), logo webu</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w:t>
      </w:r>
    </w:p>
    <w:p>
      <w:pPr>
        <w:pStyle w:val="ListParagraph"/>
        <w:numPr>
          <w:ilvl w:val="0"/>
          <w:numId w:val="1"/>
        </w:numPr>
        <w:spacing w:after="80" w:line="280"/>
      </w:pPr>
      <w:r>
        <w:t xml:space="preserve">Odkaz „stáhnout jako PDF“ (viz 5.4)</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Shrnutí rezervace, platební údaje a QR kód přímo v těle e-mailu (jako obrázek).</w:t>
      </w:r>
    </w:p>
    <w:p>
      <w:pPr>
        <w:pStyle w:val="ListParagraph"/>
        <w:numPr>
          <w:ilvl w:val="0"/>
          <w:numId w:val="1"/>
        </w:numPr>
        <w:spacing w:after="80" w:line="280"/>
      </w:pPr>
      <w:r>
        <w:t xml:space="preserve">Odkaz na stažení PDF proformy – jedinečná, netriviálně uhodnutelná URL (token vázaný na rezervaci), platná i po expiraci pro archivaci zákazníkem.</w:t>
      </w:r>
    </w:p>
    <w:p>
      <w:pPr>
        <w:pStyle w:val="ListParagraph"/>
        <w:numPr>
          <w:ilvl w:val="0"/>
          <w:numId w:val="1"/>
        </w:numPr>
        <w:spacing w:after="80" w:line="280"/>
      </w:pPr>
      <w:r>
        <w:t xml:space="preserve">PDF může být zároveň přiloženo k e-mailu; odkaz slouží pro pozdější opětovné stažení.</w:t>
      </w:r>
    </w:p>
    <w:p>
      <w:pPr>
        <w:pStyle w:val="Heading1"/>
        <w:pBdr>
          <w:bottom w:val="single" w:color="AE9333" w:sz="6" w:space="4"/>
        </w:pBdr>
        <w:spacing w:after="200" w:before="400"/>
      </w:pPr>
      <w:r>
        <w:t xml:space="preserve">6. 3) Kontrola plateb – párování e-mailových notifikací UniCredit Bank ve WordPressu</w:t>
      </w:r>
    </w:p>
    <w:p>
      <w:pPr>
        <w:pStyle w:val="Heading2"/>
        <w:spacing w:after="120" w:before="300"/>
      </w:pPr>
      <w:r>
        <w:t xml:space="preserve">6.1 Architektura</w:t>
      </w:r>
    </w:p>
    <w:p>
      <w:pPr>
        <w:spacing w:after="140" w:line="300"/>
      </w:pPr>
      <w:r>
        <w:t xml:space="preserve">UniCredit Bank zasílá e-mailové avízo o pohybech na účtu na zvolenou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Z e-mailů od UniCredit Bank modul extrahuje částku a variabilní symbol (regulárním výrazem/šablonou dle skutečného formátu – otevřená otázka 3).</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a avízo se označí jako zpracované.</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Klíčový vstupní podklad, který zatím chybí</w:t>
      </w:r>
    </w:p>
    <w:p>
      <w:pPr>
        <w:spacing w:after="140" w:line="300"/>
      </w:pPr>
      <w:r>
        <w:t xml:space="preserve">Přesný formát e-mailové notifikace z UniCredit Bank (jak je uvedena částka, zda a jak je uveden variabilní symbol) není k dispozici a je nezbytným vstupem pro návrh parseru.</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Může zadavatelka poskytnout 2–3 reálné (nebo anonymizované) ukázky avíza o příchozí platbě z UniCredit Bank, ideálně s VS i bez VS?</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rezervačního modulu seznam nespárovaných avíz s možností ručně přiřadit platbu k rezervaci.</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Kdy se provádí kontrola rezervací po splatnosti (kap. 7.2b). Výchozí: 1× denně v nastavený čas a navíc při každém běhu u rezervací s krátkou splatností.</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port (993), šifrování, uživatel, aplikační heslo – uloženo v wp-config.php nebo šifrovaně v DB.</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Adresa/doména UniCredit Bank, ze které se avíza akceptují.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volá v pevném kroku (např. každých 15 min) zabezpečený spouštěcí skript (PHP CLI mimo veřejnou URL, nebo HTTPS URL s tajným tokenem). Modul sám podle režimu a intervalu rozhodne, zda je čas na kontrolu – změna intervalu se provádí jen v administraci.</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Předpoklad k ověření: IMAP z PHP na Active24 (php-imap nebo čistě PHP knihovna, např. Webklex/php-imap) a odchozí spojení na port 993 – otevřená otázka 8.</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Rezervace na poslední chvíli (kap. 3.6), jejíž platba do začátku akce nedorazila</w:t>
            </w:r>
          </w:p>
        </w:tc>
        <w:tc>
          <w:tcPr>
            <w:tcW w:type="dxa" w:w="3800"/>
            <w:tcMar>
              <w:top w:type="dxa" w:w="80"/>
              <w:left w:type="dxa" w:w="100"/>
              <w:bottom w:type="dxa" w:w="80"/>
              <w:right w:type="dxa" w:w="100"/>
            </w:tcMar>
          </w:tcPr>
          <w:p>
            <w:r>
              <w:rPr>
                <w:b w:val="false"/>
                <w:bCs w:val="false"/>
              </w:rPr>
              <w:t xml:space="preserve">Místo zůstává blokované; Hanka po zaplacení na místě označí rezervaci ručně jako zaplacenou</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bez spárované platby (jen rezervace s běžnou splatností)</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Odešle zákazníkovi e-mail o vypršení platebního pokynu s možností rezervovat znovu (je-li volno) nebo kontaktovat Hanku.</w:t>
      </w:r>
    </w:p>
    <w:p>
      <w:pPr>
        <w:pStyle w:val="ListParagraph"/>
        <w:numPr>
          <w:ilvl w:val="0"/>
          <w:numId w:val="1"/>
        </w:numPr>
        <w:spacing w:after="80" w:line="280"/>
      </w:pPr>
      <w:r>
        <w:t xml:space="preserve">Nastaví rezervaci na „Expirováno“ a uvolní místo.</w:t>
      </w:r>
    </w:p>
    <w:p>
      <w:pPr>
        <w:pStyle w:val="ListParagraph"/>
        <w:numPr>
          <w:ilvl w:val="0"/>
          <w:numId w:val="1"/>
        </w:numPr>
        <w:spacing w:after="80" w:line="280"/>
      </w:pPr>
      <w:r>
        <w:t xml:space="preserve">Volitelně: připomínkový e-mail před koncem splatnosti (otevřená otázka 7).</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Pro logiku 7.2b</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nebo platba na místě (označeno ručně);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reálného avíza o platbě z UniCredit Bank (2–3 ukázky) – nezbytný vstup pro parser (kap. 6.2).</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UniCredit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a pauza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Expirace, rezervace na poslední chvíli a platba na místě, napojení na Ultimate Member a MailerLite</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Splatnost platebního pokynu nikdy nepřesáhne začátek akce/termínu.</w:t>
      </w:r>
    </w:p>
    <w:p>
      <w:pPr>
        <w:pStyle w:val="ListParagraph"/>
        <w:numPr>
          <w:ilvl w:val="0"/>
          <w:numId w:val="1"/>
        </w:numPr>
        <w:spacing w:after="80" w:line="280"/>
      </w:pPr>
      <w:r>
        <w:t xml:space="preserve">Vygenerovaný QR kód rozpozná bankovní aplikace (min. UniCredit) a předvyplní částku, účet i VS.</w:t>
      </w:r>
    </w:p>
    <w:p>
      <w:pPr>
        <w:pStyle w:val="ListParagraph"/>
        <w:numPr>
          <w:ilvl w:val="0"/>
          <w:numId w:val="1"/>
        </w:numPr>
        <w:spacing w:after="80" w:line="280"/>
      </w:pPr>
      <w:r>
        <w:t xml:space="preserve">E-mail s platebním pokynem dorazí do 1 minuty; odkaz na PDF funguje i po několika dnech.</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UniCredit 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Fio, ČSOB, KB, Raiffeisenbank)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