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5.6 · 31. října 2026 · plugin ReserveAndPay 0.12.1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r>
        <w:tc>
          <w:tcPr>
            <w:tcW w:type="dxa" w:w="1700"/>
            <w:tcMar>
              <w:top w:type="dxa" w:w="80"/>
              <w:left w:type="dxa" w:w="100"/>
              <w:bottom w:type="dxa" w:w="80"/>
              <w:right w:type="dxa" w:w="100"/>
            </w:tcMar>
          </w:tcPr>
          <w:p>
            <w:r>
              <w:rPr>
                <w:b w:val="false"/>
                <w:bCs w:val="false"/>
              </w:rPr>
              <w:t>5.3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42: do knihy rozvoje zapsány R7 – upozornění v parametrech služby, kdy se služba zobrazí ve výpisu, a R8 – termíny jen pro ruční rezervaci.</w:t>
            </w:r>
          </w:p>
        </w:tc>
      </w:tr>
      <w:tr>
        <w:tc>
          <w:tcPr>
            <w:tcW w:type="dxa" w:w="1700"/>
            <w:tcMar>
              <w:top w:type="dxa" w:w="80"/>
              <w:left w:type="dxa" w:w="100"/>
              <w:bottom w:type="dxa" w:w="80"/>
              <w:right w:type="dxa" w:w="100"/>
            </w:tcMar>
          </w:tcPr>
          <w:p>
            <w:r>
              <w:rPr>
                <w:b w:val="false"/>
                <w:bCs w:val="false"/>
              </w:rPr>
              <w:t>5.4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43: do knihy rozvoje zapsána R9 – kódy služeb a akcí jako preferovaný odkaz ve shortcodech a nápovědách.</w:t>
            </w:r>
          </w:p>
        </w:tc>
      </w:tr>
      <w:tr>
        <w:tc>
          <w:tcPr>
            <w:tcW w:type="dxa" w:w="1700"/>
            <w:tcMar>
              <w:top w:type="dxa" w:w="80"/>
              <w:left w:type="dxa" w:w="100"/>
              <w:bottom w:type="dxa" w:w="80"/>
              <w:right w:type="dxa" w:w="100"/>
            </w:tcMar>
          </w:tcPr>
          <w:p>
            <w:r>
              <w:rPr>
                <w:b w:val="false"/>
                <w:bCs w:val="false"/>
              </w:rPr>
              <w:t>5.5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44: do knihy rozvoje zapsána R10 – nastavitelný počet fotek v galerii akce.</w:t>
            </w:r>
          </w:p>
        </w:tc>
      </w:tr>
      <w:tr>
        <w:tc>
          <w:tcPr>
            <w:tcW w:type="dxa" w:w="1700"/>
            <w:tcMar>
              <w:top w:type="dxa" w:w="80"/>
              <w:left w:type="dxa" w:w="100"/>
              <w:bottom w:type="dxa" w:w="80"/>
              <w:right w:type="dxa" w:w="100"/>
            </w:tcMar>
          </w:tcPr>
          <w:p>
            <w:r>
              <w:rPr>
                <w:b w:val="false"/>
                <w:bCs w:val="false"/>
              </w:rPr>
              <w:t>5.6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45 (návrh ke schválení): do knihy rozvoje zapsána R11 – knihovna materiálů ke stažení (eBooky, videa, audio, pracovní listy). Každé stažení jen po přihlášení, část materiálů zdarma pro přihlášené, část až po zaplacení stejným platebním tokem jako rezervace (VS, QR platba, kontrola plateb, kupóny). Chráněné uložení souborů mimo veřejnou Knihovnu médií, nárok na materiál u účtu, stránka „Moje materiály“. Upravena kap. 3.5, zodpovězena otázka 1, nové otázky R11-a až R11-h.</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eBooky, videa, nahrávky a další materiály ke stažení se vedou ve stejném pluginu jako samostatný typ položky „Materiál“ bez termínu a kapacity. Stažení je vždy podmíněno přihlášením; placené materiály sdílejí platební tok rezervací (VS, QR platba, kontrola plateb, kupóny) a po zaplacení se materiál odemkne v účtu zákazníka. Podrobný návrh je v knize rozvoje jako R11 (kap. 15.1).</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Otázka 1 (zodpovězeno 31. 10. 2026): placené digitální materiály se zavádějí – návrh R11 v kap. 15.1, implementace po jeho schválení.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Zodpovězeno 31. 10. 2026: ano – knihovna materiálů, část placená; návrh R11 (kap. 15.1) ke schválení</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p>
      <w:pPr>
        <w:pStyle w:val="Heading3"/>
        <w:spacing w:after="100" w:before="200"/>
      </w:pPr>
      <w:r>
        <w:t xml:space="preserve">R7 – Upozornění v parametrech služby: kdy se služba zobrazí ve výpisu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 editoru služby (Parametry služby) upozornění, že se služba ve výpisu termínů (stránka Termíny, úvodní stránka, kalendář) ukáže jen tehdy, když má aspoň jeden volný termín, který jde rezervovat.</w:t>
      </w:r>
    </w:p>
    <w:p>
      <w:pPr>
        <w:pStyle w:val="ListParagraph"/>
        <w:numPr>
          <w:ilvl w:val="0"/>
          <w:numId w:val="1"/>
        </w:numPr>
        <w:spacing w:after="80" w:line="280"/>
      </w:pPr>
      <w:r>
        <w:t xml:space="preserve">Služba se tedy nezobrazí, když: nemá vygenerovaný žádný budoucí termín; má všechny termíny obsazené; u externí rezervace chybí adresa; termíny jsou po uzávěrce rezervací.</w:t>
      </w:r>
    </w:p>
    <w:p>
      <w:pPr>
        <w:pStyle w:val="ListParagraph"/>
        <w:numPr>
          <w:ilvl w:val="0"/>
          <w:numId w:val="1"/>
        </w:numPr>
        <w:spacing w:after="80" w:line="280"/>
      </w:pPr>
      <w:r>
        <w:t xml:space="preserve">Upozornění má ukázat i aktuální stav služby (např. „Ve výpisu se teď nezobrazuje – žádný volný budoucí termín“). Stránka s výběrem termínů ([reserveandpay_slots]) se zobrazuje vždy (s hláškou, že nejsou volné termíny).</w:t>
      </w:r>
    </w:p>
    <w:p>
      <w:pPr>
        <w:pStyle w:val="Heading3"/>
        <w:spacing w:after="100" w:before="200"/>
      </w:pPr>
      <w:r>
        <w:t xml:space="preserve">R8 – Termíny jen pro ruční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Požadavek: v generátoru termínů vygenerovat termíny i pro období, kdy rezervace z webu není možná – termíny slouží jen pro ruční zadání rezervace v administraci.</w:t>
      </w:r>
    </w:p>
    <w:p>
      <w:pPr>
        <w:pStyle w:val="ListParagraph"/>
        <w:numPr>
          <w:ilvl w:val="0"/>
          <w:numId w:val="1"/>
        </w:numPr>
        <w:spacing w:after="80" w:line="280"/>
      </w:pPr>
      <w:r>
        <w:t xml:space="preserve">Stav dnes (0.12.1): generátor vytvoří termíny pro libovolné budoucí období; ruční rezervace v administraci ignoruje uzávěrku i „Zahájení rezervací“ a omezení podle role. Rezervaci z webu lze zavřít polem „Zahájení rezervací“ u služby – termíny jsou ale na webu vidět s textem „Rezervace od …“. Ruční rezervace na termín, který už začal, možná není.</w:t>
      </w:r>
    </w:p>
    <w:p>
      <w:pPr>
        <w:pStyle w:val="ListParagraph"/>
        <w:numPr>
          <w:ilvl w:val="0"/>
          <w:numId w:val="1"/>
        </w:numPr>
        <w:spacing w:after="80" w:line="280"/>
      </w:pPr>
      <w:r>
        <w:t xml:space="preserve">Návrh: volba v generátoru a u termínu „Jen pro ruční rezervaci“ – termín se na webu nezobrazuje (výpis, výběr termínů, kalendář) a rezervovat ho lze jen v administraci (ResAndPay → Nová rezervace); v seznamu termínů štítek „jen ručně“. K upřesnění: zda povolit ruční zápis i na termín, který už proběhl (doplnění evidence).</w:t>
      </w:r>
    </w:p>
    <w:p>
      <w:pPr>
        <w:pStyle w:val="Heading3"/>
        <w:spacing w:after="100" w:before="200"/>
      </w:pPr>
      <w:r>
        <w:t xml:space="preserve">R9 – Kódy služeb a akcí jako preferovaný odkaz ve shortcodech</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Ve všech nápovědách a příkladech shortcodů (editor služby – „Stránka s volnými termíny“, editor akce, dokumentace) uvádět jako preferovaný odkaz kód služby nebo akce (kap. 3.8), ne slug: např. [reserveandpay_slots service="SL-003" description="toggle"] místo [reserveandpay_slots service="parova-zvukova-lazen-s-restorativni-jogou-lidicka-brno" description="toggle"].</w:t>
      </w:r>
    </w:p>
    <w:p>
      <w:pPr>
        <w:pStyle w:val="ListParagraph"/>
        <w:numPr>
          <w:ilvl w:val="0"/>
          <w:numId w:val="1"/>
        </w:numPr>
        <w:spacing w:after="80" w:line="280"/>
      </w:pPr>
      <w:r>
        <w:t xml:space="preserve">Důvod: kód je krátký, čitelný a nemění se při přejmenování služby / akce (slug se může změnit a shortcode by přestal fungovat).</w:t>
      </w:r>
    </w:p>
    <w:p>
      <w:pPr>
        <w:pStyle w:val="ListParagraph"/>
        <w:numPr>
          <w:ilvl w:val="0"/>
          <w:numId w:val="1"/>
        </w:numPr>
        <w:spacing w:after="80" w:line="280"/>
      </w:pPr>
      <w:r>
        <w:t xml:space="preserve">Stav dnes: shortcody kód už přijímají – [reserveandpay_slots service="…"] (kód, slug nebo ID) a [reserveandpay_booking id="…"] (kód nebo ID); jde tedy jen o nápovědy, příklady a tlačítko „Kopírovat shortcode“ s kódem. Slug a ID zůstávají funkční (zpětná kompatibilita).</w:t>
      </w:r>
    </w:p>
    <w:p>
      <w:pPr>
        <w:pStyle w:val="ListParagraph"/>
        <w:numPr>
          <w:ilvl w:val="0"/>
          <w:numId w:val="1"/>
        </w:numPr>
        <w:spacing w:after="80" w:line="280"/>
      </w:pPr>
      <w:r>
        <w:t xml:space="preserve">Doplněk: v editoru služby a akce hotový shortcode s kódem ke zkopírování jedním kliknutím; u akce i [reserveandpay_booking id="AK-…"].</w:t>
      </w:r>
    </w:p>
    <w:p>
      <w:pPr>
        <w:pStyle w:val="Heading3"/>
        <w:spacing w:after="100" w:before="200"/>
      </w:pPr>
      <w:r>
        <w:t xml:space="preserve">R10 – Nastavitelný počet fotek v galerii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Stav dnes (0.12.1): galerie akce má pevný limit 12 fotek (výběr v okně knihovny i uložení akce); před galerií se na webu zobrazuje Náhledový obrázek akce, je-li nastavený.</w:t>
      </w:r>
    </w:p>
    <w:p>
      <w:pPr>
        <w:pStyle w:val="ListParagraph"/>
        <w:numPr>
          <w:ilvl w:val="0"/>
          <w:numId w:val="1"/>
        </w:numPr>
        <w:spacing w:after="80" w:line="280"/>
      </w:pPr>
      <w:r>
        <w:t xml:space="preserve">Návrh: limit přesunout do Nastavení → Detail akce („Nejvyšší počet fotek v galerii akce“, výchozí 12) – v souladu s pravidlem fáze 1 „nic natvrdo“ (kap. 14.1).</w:t>
      </w:r>
    </w:p>
    <w:p>
      <w:pPr>
        <w:pStyle w:val="ListParagraph"/>
        <w:numPr>
          <w:ilvl w:val="0"/>
          <w:numId w:val="1"/>
        </w:numPr>
        <w:spacing w:after="80" w:line="280"/>
      </w:pPr>
      <w:r>
        <w:t xml:space="preserve">Při vyšším počtu (např. 20 a více) náhledy pod hlavní fotkou jako posuvný pás (vodorovné posouvání, na mobilu tažením), aby záhlaví detailu akce nebylo příliš vysoké; poměr stran fotek zůstává 4:3.</w:t>
      </w:r>
    </w:p>
    <w:p>
      <w:pPr>
        <w:pStyle w:val="ListParagraph"/>
        <w:numPr>
          <w:ilvl w:val="0"/>
          <w:numId w:val="1"/>
        </w:numPr>
        <w:spacing w:after="80" w:line="280"/>
      </w:pPr>
      <w:r>
        <w:t xml:space="preserve">K upřesnění: zda limit platit i pro fotky služby (R6 – vlastní stránka služby) a zda zobrazit v galerii celé okno s listováním (lightbox).</w:t>
      </w:r>
    </w:p>
    <w:p>
      <w:pPr>
        <w:pStyle w:val="Heading3"/>
        <w:spacing w:after="100" w:before="200"/>
      </w:pPr>
      <w:r>
        <w:t>R11 – Knihovna materiálů ke stažení (eBooky, videa, instruktážní materiály)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Pozn.: Zapsáno do knihy rozvoje 31. 10. 2026 na žádost vlastníka – návrh ke schválení, zatím neimplementováno.</w:t>
      </w:r>
    </w:p>
    <w:p>
      <w:pPr>
        <w:spacing w:after="140" w:line="300"/>
      </w:pPr>
      <w:r>
        <w:t>Požadavek: sekce webu pro stahování eBooků, videí a dalších elektronických instruktážních materiálů. Každé stažení je podmíněno přihlášením; některé materiály lze získat až po zaplacení.</w:t>
      </w:r>
    </w:p>
    <w:p>
      <w:pPr>
        <w:pStyle w:val="Heading3"/>
        <w:spacing w:after="100" w:before="200"/>
      </w:pPr>
      <w:r>
        <w:t>R11.1 Princip a vztah k Ultimate Member</w:t>
      </w:r>
    </w:p>
    <w:p>
      <w:pPr>
        <w:pStyle w:val="ListParagraph"/>
        <w:numPr>
          <w:ilvl w:val="0"/>
          <w:numId w:val="1"/>
        </w:numPr>
        <w:spacing w:after="80" w:line="280"/>
      </w:pPr>
      <w:r>
        <w:t>Materiály spravuje ReserveAndPay, ne Content Restriction v Ultimate Member. Důvod: Content Restriction skryje obsah stránky, ale soubor nahraný do Knihovny médií má veřejnou adresu (/wp-content/uploads/…), kterou lze stáhnout bez přihlášení – a placený nárok podle VS Ultimate Member nezná. Ultimate Member dál zajišťuje registraci, přihlášení a role.</w:t>
      </w:r>
    </w:p>
    <w:p>
      <w:pPr>
        <w:pStyle w:val="ListParagraph"/>
        <w:numPr>
          <w:ilvl w:val="0"/>
          <w:numId w:val="1"/>
        </w:numPr>
        <w:spacing w:after="80" w:line="280"/>
      </w:pPr>
      <w:r>
        <w:t>Tři úrovně přístupu u každého materiálu: Zdarma pro přihlášené · Placený · Jen vybrané role (role z Ultimate Member, stejný výběr jako R5). Nepřihlášený návštěvník katalog vidí (náhled, perex, cena), ale místo tlačítka „Stáhnout“ má „Přihlaste se / Zaregistrujte se“ s návratem zpět na materiál.</w:t>
      </w:r>
    </w:p>
    <w:p>
      <w:pPr>
        <w:pStyle w:val="ListParagraph"/>
        <w:numPr>
          <w:ilvl w:val="0"/>
          <w:numId w:val="1"/>
        </w:numPr>
        <w:spacing w:after="80" w:line="280"/>
      </w:pPr>
      <w:r>
        <w:t>Volitelná veřejná ukázka (např. první kapitola eBooku, 1minutová ukázka videa) – samostatný soubor označený „Ukázka“, jako jediný stažitelný bez přihlášení.</w:t>
      </w:r>
    </w:p>
    <w:p>
      <w:pPr>
        <w:pStyle w:val="Heading3"/>
        <w:spacing w:after="100" w:before="200"/>
      </w:pPr>
      <w:r>
        <w:t>R11.2 Materiál – datový model</w:t>
      </w:r>
    </w:p>
    <w:p>
      <w:pPr>
        <w:spacing w:after="140" w:line="300"/>
      </w:pPr>
      <w:r>
        <w:t>Materiál je nový typ obsahu (CPT „Materiál“) s vlastní adresou /materialy/…/, editorem bloků a SEO, obdobně jako akce. Grafické prvky (náhled, ilustrace) z Knihovny médií – nic natvrdo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Pole</w:t>
            </w:r>
          </w:p>
        </w:tc>
        <w:tc>
          <w:tcPr>
            <w:tcW w:type="dxa" w:w="6800"/>
            <w:shd w:fill="AE9333" w:val="clear"/>
            <w:tcMar>
              <w:top w:type="dxa" w:w="80"/>
              <w:left w:type="dxa" w:w="100"/>
              <w:bottom w:type="dxa" w:w="80"/>
              <w:right w:type="dxa" w:w="100"/>
            </w:tcMar>
          </w:tcPr>
          <w:p>
            <w:r>
              <w:rPr>
                <w:b/>
                <w:bCs/>
                <w:color w:val="FFFFFF"/>
              </w:rPr>
              <w:t>Popis</w:t>
            </w:r>
          </w:p>
        </w:tc>
      </w:tr>
      <w:tr>
        <w:tc>
          <w:tcPr>
            <w:tcW w:type="dxa" w:w="2600"/>
            <w:tcMar>
              <w:top w:type="dxa" w:w="80"/>
              <w:left w:type="dxa" w:w="100"/>
              <w:bottom w:type="dxa" w:w="80"/>
              <w:right w:type="dxa" w:w="100"/>
            </w:tcMar>
          </w:tcPr>
          <w:p>
            <w:r>
              <w:rPr>
                <w:b w:val="false"/>
                <w:bCs w:val="false"/>
              </w:rPr>
              <w:t>Kód</w:t>
            </w:r>
          </w:p>
        </w:tc>
        <w:tc>
          <w:tcPr>
            <w:tcW w:type="dxa" w:w="6800"/>
            <w:tcMar>
              <w:top w:type="dxa" w:w="80"/>
              <w:left w:type="dxa" w:w="100"/>
              <w:bottom w:type="dxa" w:w="80"/>
              <w:right w:type="dxa" w:w="100"/>
            </w:tcMar>
          </w:tcPr>
          <w:p>
            <w:r>
              <w:rPr>
                <w:b w:val="false"/>
                <w:bCs w:val="false"/>
              </w:rPr>
              <w:t>MA-NNN – přidělí se při prvním uložení, neměnný, nikdy znovu nepoužitý (kap. 3.8); předpona v nastavení</w:t>
            </w:r>
          </w:p>
        </w:tc>
      </w:tr>
      <w:tr>
        <w:tc>
          <w:tcPr>
            <w:tcW w:type="dxa" w:w="2600"/>
            <w:tcMar>
              <w:top w:type="dxa" w:w="80"/>
              <w:left w:type="dxa" w:w="100"/>
              <w:bottom w:type="dxa" w:w="80"/>
              <w:right w:type="dxa" w:w="100"/>
            </w:tcMar>
          </w:tcPr>
          <w:p>
            <w:r>
              <w:rPr>
                <w:b w:val="false"/>
                <w:bCs w:val="false"/>
              </w:rPr>
              <w:t>Název, perex, popis</w:t>
            </w:r>
          </w:p>
        </w:tc>
        <w:tc>
          <w:tcPr>
            <w:tcW w:type="dxa" w:w="6800"/>
            <w:tcMar>
              <w:top w:type="dxa" w:w="80"/>
              <w:left w:type="dxa" w:w="100"/>
              <w:bottom w:type="dxa" w:w="80"/>
              <w:right w:type="dxa" w:w="100"/>
            </w:tcMar>
          </w:tcPr>
          <w:p>
            <w:r>
              <w:rPr>
                <w:b w:val="false"/>
                <w:bCs w:val="false"/>
              </w:rPr>
              <w:t>Popis v blokovém editoru (obsah, pro koho, rozsah, délka videa…)</w:t>
            </w:r>
          </w:p>
        </w:tc>
      </w:tr>
      <w:tr>
        <w:tc>
          <w:tcPr>
            <w:tcW w:type="dxa" w:w="2600"/>
            <w:tcMar>
              <w:top w:type="dxa" w:w="80"/>
              <w:left w:type="dxa" w:w="100"/>
              <w:bottom w:type="dxa" w:w="80"/>
              <w:right w:type="dxa" w:w="100"/>
            </w:tcMar>
          </w:tcPr>
          <w:p>
            <w:r>
              <w:rPr>
                <w:b w:val="false"/>
                <w:bCs w:val="false"/>
              </w:rPr>
              <w:t>Náhledový obrázek</w:t>
            </w:r>
          </w:p>
        </w:tc>
        <w:tc>
          <w:tcPr>
            <w:tcW w:type="dxa" w:w="6800"/>
            <w:tcMar>
              <w:top w:type="dxa" w:w="80"/>
              <w:left w:type="dxa" w:w="100"/>
              <w:bottom w:type="dxa" w:w="80"/>
              <w:right w:type="dxa" w:w="100"/>
            </w:tcMar>
          </w:tcPr>
          <w:p>
            <w:r>
              <w:rPr>
                <w:b w:val="false"/>
                <w:bCs w:val="false"/>
              </w:rPr>
              <w:t>Z Knihovny médií, poměr 3:4 (resource thumb dle projektového zadání); bez obrázku gradientový zástupný motiv</w:t>
            </w:r>
          </w:p>
        </w:tc>
      </w:tr>
      <w:tr>
        <w:tc>
          <w:tcPr>
            <w:tcW w:type="dxa" w:w="2600"/>
            <w:tcMar>
              <w:top w:type="dxa" w:w="80"/>
              <w:left w:type="dxa" w:w="100"/>
              <w:bottom w:type="dxa" w:w="80"/>
              <w:right w:type="dxa" w:w="100"/>
            </w:tcMar>
          </w:tcPr>
          <w:p>
            <w:r>
              <w:rPr>
                <w:b w:val="false"/>
                <w:bCs w:val="false"/>
              </w:rPr>
              <w:t>Druh</w:t>
            </w:r>
          </w:p>
        </w:tc>
        <w:tc>
          <w:tcPr>
            <w:tcW w:type="dxa" w:w="6800"/>
            <w:tcMar>
              <w:top w:type="dxa" w:w="80"/>
              <w:left w:type="dxa" w:w="100"/>
              <w:bottom w:type="dxa" w:w="80"/>
              <w:right w:type="dxa" w:w="100"/>
            </w:tcMar>
          </w:tcPr>
          <w:p>
            <w:r>
              <w:rPr>
                <w:b w:val="false"/>
                <w:bCs w:val="false"/>
              </w:rPr>
              <w:t>eBook / PDF · Video · Audio · Pracovní list · Balíček · Jiné – číselník v nastavení (ikona a štítek na kartě)</w:t>
            </w:r>
          </w:p>
        </w:tc>
      </w:tr>
      <w:tr>
        <w:tc>
          <w:tcPr>
            <w:tcW w:type="dxa" w:w="2600"/>
            <w:tcMar>
              <w:top w:type="dxa" w:w="80"/>
              <w:left w:type="dxa" w:w="100"/>
              <w:bottom w:type="dxa" w:w="80"/>
              <w:right w:type="dxa" w:w="100"/>
            </w:tcMar>
          </w:tcPr>
          <w:p>
            <w:r>
              <w:rPr>
                <w:b w:val="false"/>
                <w:bCs w:val="false"/>
              </w:rPr>
              <w:t>Kategorie</w:t>
            </w:r>
          </w:p>
        </w:tc>
        <w:tc>
          <w:tcPr>
            <w:tcW w:type="dxa" w:w="6800"/>
            <w:tcMar>
              <w:top w:type="dxa" w:w="80"/>
              <w:left w:type="dxa" w:w="100"/>
              <w:bottom w:type="dxa" w:w="80"/>
              <w:right w:type="dxa" w:w="100"/>
            </w:tcMar>
          </w:tcPr>
          <w:p>
            <w:r>
              <w:rPr>
                <w:b w:val="false"/>
                <w:bCs w:val="false"/>
              </w:rPr>
              <w:t>Sdílená taxonomie webu (Sound healing / Kancelář / Cesty …)</w:t>
            </w:r>
          </w:p>
        </w:tc>
      </w:tr>
      <w:tr>
        <w:tc>
          <w:tcPr>
            <w:tcW w:type="dxa" w:w="2600"/>
            <w:tcMar>
              <w:top w:type="dxa" w:w="80"/>
              <w:left w:type="dxa" w:w="100"/>
              <w:bottom w:type="dxa" w:w="80"/>
              <w:right w:type="dxa" w:w="100"/>
            </w:tcMar>
          </w:tcPr>
          <w:p>
            <w:r>
              <w:rPr>
                <w:b w:val="false"/>
                <w:bCs w:val="false"/>
              </w:rPr>
              <w:t>Soubory</w:t>
            </w:r>
          </w:p>
        </w:tc>
        <w:tc>
          <w:tcPr>
            <w:tcW w:type="dxa" w:w="6800"/>
            <w:tcMar>
              <w:top w:type="dxa" w:w="80"/>
              <w:left w:type="dxa" w:w="100"/>
              <w:bottom w:type="dxa" w:w="80"/>
              <w:right w:type="dxa" w:w="100"/>
            </w:tcMar>
          </w:tcPr>
          <w:p>
            <w:r>
              <w:rPr>
                <w:b w:val="false"/>
                <w:bCs w:val="false"/>
              </w:rPr>
              <w:t>1 až N položek: chráněný soubor (R11.4) nebo externí video (R11.5); u každé popisek, velikost, „Ukázka“ ano/ne, pořadí</w:t>
            </w:r>
          </w:p>
        </w:tc>
      </w:tr>
      <w:tr>
        <w:tc>
          <w:tcPr>
            <w:tcW w:type="dxa" w:w="2600"/>
            <w:tcMar>
              <w:top w:type="dxa" w:w="80"/>
              <w:left w:type="dxa" w:w="100"/>
              <w:bottom w:type="dxa" w:w="80"/>
              <w:right w:type="dxa" w:w="100"/>
            </w:tcMar>
          </w:tcPr>
          <w:p>
            <w:r>
              <w:rPr>
                <w:b w:val="false"/>
                <w:bCs w:val="false"/>
              </w:rPr>
              <w:t>Přístup</w:t>
            </w:r>
          </w:p>
        </w:tc>
        <w:tc>
          <w:tcPr>
            <w:tcW w:type="dxa" w:w="6800"/>
            <w:tcMar>
              <w:top w:type="dxa" w:w="80"/>
              <w:left w:type="dxa" w:w="100"/>
              <w:bottom w:type="dxa" w:w="80"/>
              <w:right w:type="dxa" w:w="100"/>
            </w:tcMar>
          </w:tcPr>
          <w:p>
            <w:r>
              <w:rPr>
                <w:b w:val="false"/>
                <w:bCs w:val="false"/>
              </w:rPr>
              <w:t>Zdarma pro přihlášené / Placený / Jen vybrané role</w:t>
            </w:r>
          </w:p>
        </w:tc>
      </w:tr>
      <w:tr>
        <w:tc>
          <w:tcPr>
            <w:tcW w:type="dxa" w:w="2600"/>
            <w:tcMar>
              <w:top w:type="dxa" w:w="80"/>
              <w:left w:type="dxa" w:w="100"/>
              <w:bottom w:type="dxa" w:w="80"/>
              <w:right w:type="dxa" w:w="100"/>
            </w:tcMar>
          </w:tcPr>
          <w:p>
            <w:r>
              <w:rPr>
                <w:b w:val="false"/>
                <w:bCs w:val="false"/>
              </w:rPr>
              <w:t>Cena a měna</w:t>
            </w:r>
          </w:p>
        </w:tc>
        <w:tc>
          <w:tcPr>
            <w:tcW w:type="dxa" w:w="6800"/>
            <w:tcMar>
              <w:top w:type="dxa" w:w="80"/>
              <w:left w:type="dxa" w:w="100"/>
              <w:bottom w:type="dxa" w:w="80"/>
              <w:right w:type="dxa" w:w="100"/>
            </w:tcMar>
          </w:tcPr>
          <w:p>
            <w:r>
              <w:rPr>
                <w:b w:val="false"/>
                <w:bCs w:val="false"/>
              </w:rPr>
              <w:t>Jen u placeného; měna dle kap. 14.1 (výchozí CZK)</w:t>
            </w:r>
          </w:p>
        </w:tc>
      </w:tr>
      <w:tr>
        <w:tc>
          <w:tcPr>
            <w:tcW w:type="dxa" w:w="2600"/>
            <w:tcMar>
              <w:top w:type="dxa" w:w="80"/>
              <w:left w:type="dxa" w:w="100"/>
              <w:bottom w:type="dxa" w:w="80"/>
              <w:right w:type="dxa" w:w="100"/>
            </w:tcMar>
          </w:tcPr>
          <w:p>
            <w:r>
              <w:rPr>
                <w:b w:val="false"/>
                <w:bCs w:val="false"/>
              </w:rPr>
              <w:t>Splatnost objednávky</w:t>
            </w:r>
          </w:p>
        </w:tc>
        <w:tc>
          <w:tcPr>
            <w:tcW w:type="dxa" w:w="6800"/>
            <w:tcMar>
              <w:top w:type="dxa" w:w="80"/>
              <w:left w:type="dxa" w:w="100"/>
              <w:bottom w:type="dxa" w:w="80"/>
              <w:right w:type="dxa" w:w="100"/>
            </w:tcMar>
          </w:tcPr>
          <w:p>
            <w:r>
              <w:rPr>
                <w:b w:val="false"/>
                <w:bCs w:val="false"/>
              </w:rPr>
              <w:t>Dní od objednání (výchozí 7, globálně v nastavení, přepsání u materiálu)</w:t>
            </w:r>
          </w:p>
        </w:tc>
      </w:tr>
      <w:tr>
        <w:tc>
          <w:tcPr>
            <w:tcW w:type="dxa" w:w="2600"/>
            <w:tcMar>
              <w:top w:type="dxa" w:w="80"/>
              <w:left w:type="dxa" w:w="100"/>
              <w:bottom w:type="dxa" w:w="80"/>
              <w:right w:type="dxa" w:w="100"/>
            </w:tcMar>
          </w:tcPr>
          <w:p>
            <w:r>
              <w:rPr>
                <w:b w:val="false"/>
                <w:bCs w:val="false"/>
              </w:rPr>
              <w:t>Doba přístupu</w:t>
            </w:r>
          </w:p>
        </w:tc>
        <w:tc>
          <w:tcPr>
            <w:tcW w:type="dxa" w:w="6800"/>
            <w:tcMar>
              <w:top w:type="dxa" w:w="80"/>
              <w:left w:type="dxa" w:w="100"/>
              <w:bottom w:type="dxa" w:w="80"/>
              <w:right w:type="dxa" w:w="100"/>
            </w:tcMar>
          </w:tcPr>
          <w:p>
            <w:r>
              <w:rPr>
                <w:b w:val="false"/>
                <w:bCs w:val="false"/>
              </w:rPr>
              <w:t>Neomezeně (výchozí) / N dní od zaplacení – viz otázka R11-c</w:t>
            </w:r>
          </w:p>
        </w:tc>
      </w:tr>
      <w:tr>
        <w:tc>
          <w:tcPr>
            <w:tcW w:type="dxa" w:w="2600"/>
            <w:tcMar>
              <w:top w:type="dxa" w:w="80"/>
              <w:left w:type="dxa" w:w="100"/>
              <w:bottom w:type="dxa" w:w="80"/>
              <w:right w:type="dxa" w:w="100"/>
            </w:tcMar>
          </w:tcPr>
          <w:p>
            <w:r>
              <w:rPr>
                <w:b w:val="false"/>
                <w:bCs w:val="false"/>
              </w:rPr>
              <w:t>Materiál k akci / službě</w:t>
            </w:r>
          </w:p>
        </w:tc>
        <w:tc>
          <w:tcPr>
            <w:tcW w:type="dxa" w:w="6800"/>
            <w:tcMar>
              <w:top w:type="dxa" w:w="80"/>
              <w:left w:type="dxa" w:w="100"/>
              <w:bottom w:type="dxa" w:w="80"/>
              <w:right w:type="dxa" w:w="100"/>
            </w:tcMar>
          </w:tcPr>
          <w:p>
            <w:r>
              <w:rPr>
                <w:b w:val="false"/>
                <w:bCs w:val="false"/>
              </w:rPr>
              <w:t>Volitelná vazba: zaplacená rezervace vybrané akce či služby dává nárok na materiál zdarma (např. nahrávka meditace pro účastnice kurzu)</w:t>
            </w:r>
          </w:p>
        </w:tc>
      </w:tr>
      <w:tr>
        <w:tc>
          <w:tcPr>
            <w:tcW w:type="dxa" w:w="2600"/>
            <w:tcMar>
              <w:top w:type="dxa" w:w="80"/>
              <w:left w:type="dxa" w:w="100"/>
              <w:bottom w:type="dxa" w:w="80"/>
              <w:right w:type="dxa" w:w="100"/>
            </w:tcMar>
          </w:tcPr>
          <w:p>
            <w:r>
              <w:rPr>
                <w:b w:val="false"/>
                <w:bCs w:val="false"/>
              </w:rPr>
              <w:t>MailerLite skupina</w:t>
            </w:r>
          </w:p>
        </w:tc>
        <w:tc>
          <w:tcPr>
            <w:tcW w:type="dxa" w:w="6800"/>
            <w:tcMar>
              <w:top w:type="dxa" w:w="80"/>
              <w:left w:type="dxa" w:w="100"/>
              <w:bottom w:type="dxa" w:w="80"/>
              <w:right w:type="dxa" w:w="100"/>
            </w:tcMar>
          </w:tcPr>
          <w:p>
            <w:r>
              <w:rPr>
                <w:b w:val="false"/>
                <w:bCs w:val="false"/>
              </w:rPr>
              <w:t>Volitelně: první stažení / zaplacení zapíše zákazníka do skupiny (jen se souhlasem) – lead magnet dle stávající architektury</w:t>
            </w:r>
          </w:p>
        </w:tc>
      </w:tr>
      <w:tr>
        <w:tc>
          <w:tcPr>
            <w:tcW w:type="dxa" w:w="2600"/>
            <w:tcMar>
              <w:top w:type="dxa" w:w="80"/>
              <w:left w:type="dxa" w:w="100"/>
              <w:bottom w:type="dxa" w:w="80"/>
              <w:right w:type="dxa" w:w="100"/>
            </w:tcMar>
          </w:tcPr>
          <w:p>
            <w:r>
              <w:rPr>
                <w:b w:val="false"/>
                <w:bCs w:val="false"/>
              </w:rPr>
              <w:t>Stav</w:t>
            </w:r>
          </w:p>
        </w:tc>
        <w:tc>
          <w:tcPr>
            <w:tcW w:type="dxa" w:w="6800"/>
            <w:tcMar>
              <w:top w:type="dxa" w:w="80"/>
              <w:left w:type="dxa" w:w="100"/>
              <w:bottom w:type="dxa" w:w="80"/>
              <w:right w:type="dxa" w:w="100"/>
            </w:tcMar>
          </w:tcPr>
          <w:p>
            <w:r>
              <w:rPr>
                <w:b w:val="false"/>
                <w:bCs w:val="false"/>
              </w:rPr>
              <w:t>Koncept / Publikováno / Staženo z nabídky (zakoupené zůstává dostupné kupujícím)</w:t>
            </w:r>
          </w:p>
        </w:tc>
      </w:tr>
    </w:tbl>
    <w:p>
      <w:pPr>
        <w:pStyle w:val="Heading3"/>
        <w:spacing w:after="100" w:before="200"/>
      </w:pPr>
      <w:r>
        <w:t>R11.3 Objednávka a platba placeného materiálu</w:t>
      </w:r>
    </w:p>
    <w:p>
      <w:pPr>
        <w:pStyle w:val="ListParagraph"/>
        <w:numPr>
          <w:ilvl w:val="0"/>
          <w:numId w:val="1"/>
        </w:numPr>
        <w:spacing w:after="80" w:line="280"/>
      </w:pPr>
      <w:r>
        <w:t>Placený materiál se objedná tlačítkem „Koupit za X Kč“ v detailu materiálu. Objednávka je stejný záznam jako rezervace (druh „materiál“), jen bez termínu a kapacity: vlastní VS, číslo proformy, platební pokyn s QR kódem SPD, PDF, kontrola plateb z avíz Raiffeisenbank, ruční přiřazení, evidence plateb a odpárování (kap. 5–7) beze změny.</w:t>
      </w:r>
    </w:p>
    <w:p>
      <w:pPr>
        <w:pStyle w:val="ListParagraph"/>
        <w:numPr>
          <w:ilvl w:val="0"/>
          <w:numId w:val="1"/>
        </w:numPr>
        <w:spacing w:after="80" w:line="280"/>
      </w:pPr>
      <w:r>
        <w:t>Objednávat lze jen přihlášený – objednávka je vázaná na účet, nárok vzniká přímo u něj (návrh; alternativa viz otázka R11-b). Formulář je proto kratší: jméno a e-mail z účtu, volitelně firma/IČ, souhlasy.</w:t>
      </w:r>
    </w:p>
    <w:p>
      <w:pPr>
        <w:pStyle w:val="ListParagraph"/>
        <w:numPr>
          <w:ilvl w:val="0"/>
          <w:numId w:val="1"/>
        </w:numPr>
        <w:spacing w:after="80" w:line="280"/>
      </w:pPr>
      <w:r>
        <w:t>Souhlas s okamžitým poskytnutím digitálního obsahu: povinný checkbox „Souhlasím s poskytnutím digitálního obsahu před uplynutím lhůty pro odstoupení od smlouvy a beru na vědomí, že tím právo na odstoupení zaniká“ (občanský zákoník, § 1837 písm. l). Ukládá se s časem udělení. Znění ověřit s právníkem – toto není právní poradenství.</w:t>
      </w:r>
    </w:p>
    <w:p>
      <w:pPr>
        <w:pStyle w:val="ListParagraph"/>
        <w:numPr>
          <w:ilvl w:val="0"/>
          <w:numId w:val="1"/>
        </w:numPr>
        <w:spacing w:after="80" w:line="280"/>
      </w:pPr>
      <w:r>
        <w:t>Platí slevové kupóny (kap. 3.10) – rozsah kupónu rozšířen o „materiály“ (všechny / kategorie / konkrétní). Kupón 100 % = materiál zdarma bez platebního pokynu. Neuplatňuje se sleva za včasnou rezervaci, platba ve dvou částech ani platba na místě.</w:t>
      </w:r>
    </w:p>
    <w:p>
      <w:pPr>
        <w:pStyle w:val="ListParagraph"/>
        <w:numPr>
          <w:ilvl w:val="0"/>
          <w:numId w:val="1"/>
        </w:numPr>
        <w:spacing w:after="80" w:line="280"/>
      </w:pPr>
      <w:r>
        <w:t>Stavy objednávky: Čeká na platbu → Zaplaceno (vznik nároku) / Expirováno (po splatnosti; nic se neuvolňuje, pozdní platba objednávku obnoví vždy – kapacita není) / Zrušeno. Připomínka před splatností dle kap. 7.2b.</w:t>
      </w:r>
    </w:p>
    <w:p>
      <w:pPr>
        <w:pStyle w:val="ListParagraph"/>
        <w:numPr>
          <w:ilvl w:val="0"/>
          <w:numId w:val="1"/>
        </w:numPr>
        <w:spacing w:after="80" w:line="280"/>
      </w:pPr>
      <w:r>
        <w:t>Už zakoupený materiál nelze koupit znovu – místo tlačítka „Koupit“ se zobrazí „Stáhnout“; nezaplacená objednávka ukáže platební údaje a QR kód místo vytvoření nové.</w:t>
      </w:r>
    </w:p>
    <w:p>
      <w:pPr>
        <w:pStyle w:val="ListParagraph"/>
        <w:numPr>
          <w:ilvl w:val="0"/>
          <w:numId w:val="1"/>
        </w:numPr>
        <w:spacing w:after="80" w:line="280"/>
      </w:pPr>
      <w:r>
        <w:t>Po zaplacení e-mail „Materiál je připraven“ s odkazem na detail materiálu / stránku „Moje materiály“ – nikdy s přímým odkazem na soubor (odkaz by šel přeposlat).</w:t>
      </w:r>
    </w:p>
    <w:p>
      <w:pPr>
        <w:pStyle w:val="Heading3"/>
        <w:spacing w:after="100" w:before="200"/>
      </w:pPr>
      <w:r>
        <w:t>R11.4 Chráněné uložení a stahování souborů</w:t>
      </w:r>
    </w:p>
    <w:p>
      <w:pPr>
        <w:pStyle w:val="ListParagraph"/>
        <w:numPr>
          <w:ilvl w:val="0"/>
          <w:numId w:val="1"/>
        </w:numPr>
        <w:spacing w:after="80" w:line="280"/>
      </w:pPr>
      <w:r>
        <w:t>Soubory se nahrávají v editoru materiálu vlastním polem pluginu (ne do Knihovny médií) a ukládají do chráněné složky wp-content/uploads/resandpay-protected/ s náhodnými názvy; přístup přes web zakázán souborem .htaccess (Deny) a prázdným index.php. Funguje bez FTP – vše z administrace.</w:t>
      </w:r>
    </w:p>
    <w:p>
      <w:pPr>
        <w:pStyle w:val="ListParagraph"/>
        <w:numPr>
          <w:ilvl w:val="0"/>
          <w:numId w:val="1"/>
        </w:numPr>
        <w:spacing w:after="80" w:line="280"/>
      </w:pPr>
      <w:r>
        <w:t>Stažení přes adresu pluginu (/?rap_download=…) s krátkodobým podepsaným tokenem vázaným na uživatele a soubor (platnost např. 10 min). Server před odesláním ověří: přihlášení, nárok k materiálu (zdarma / zaplacená objednávka / role / ruční přidělení / vazba na akci), stav materiálu a limit stažení.</w:t>
      </w:r>
    </w:p>
    <w:p>
      <w:pPr>
        <w:pStyle w:val="ListParagraph"/>
        <w:numPr>
          <w:ilvl w:val="0"/>
          <w:numId w:val="1"/>
        </w:numPr>
        <w:spacing w:after="80" w:line="280"/>
      </w:pPr>
      <w:r>
        <w:t>Soubor se odesílá po částech (bez načtení do paměti) s podporou HTTP Range – u videa a audia funguje posun v přehrávači a navázání přerušeného stahování. Stránky s tlačítky se neukládají do cache, noindex pro chráněné části.</w:t>
      </w:r>
    </w:p>
    <w:p>
      <w:pPr>
        <w:pStyle w:val="ListParagraph"/>
        <w:numPr>
          <w:ilvl w:val="0"/>
          <w:numId w:val="1"/>
        </w:numPr>
        <w:spacing w:after="80" w:line="280"/>
      </w:pPr>
      <w:r>
        <w:t>Limit stažení na uživatele a soubor (výchozí 10× za 24 h, nastavitelné, 0 = bez limitu); při překročení hláška a upozornění správci – ochrana proti hromadnému sdílení účtu.</w:t>
      </w:r>
    </w:p>
    <w:p>
      <w:pPr>
        <w:pStyle w:val="ListParagraph"/>
        <w:numPr>
          <w:ilvl w:val="0"/>
          <w:numId w:val="1"/>
        </w:numPr>
        <w:spacing w:after="80" w:line="280"/>
      </w:pPr>
      <w:r>
        <w:t>Log stažení: čas, uživatel, materiál, soubor, otisk IP (ne IP v čitelné podobě), výsledek. Doba uchování v nastavení (výchozí 365 dní, kap. 9).</w:t>
      </w:r>
    </w:p>
    <w:p>
      <w:pPr>
        <w:pStyle w:val="ListParagraph"/>
        <w:numPr>
          <w:ilvl w:val="0"/>
          <w:numId w:val="1"/>
        </w:numPr>
        <w:spacing w:after="80" w:line="280"/>
      </w:pPr>
      <w:r>
        <w:t>Volitelně (2. krok, otázka R11-e): osobní vodoznak v PDF – do patičky každé strany „Pro: jméno, e-mail, datum“ (odrazuje od přeposílání; TCPDF je v pluginu už přibalen).</w:t>
      </w:r>
    </w:p>
    <w:p>
      <w:pPr>
        <w:pStyle w:val="ListParagraph"/>
        <w:numPr>
          <w:ilvl w:val="0"/>
          <w:numId w:val="1"/>
        </w:numPr>
        <w:spacing w:after="80" w:line="280"/>
      </w:pPr>
      <w:r>
        <w:t>Omezení hostingu: velikost nahrávaného souboru je dána limity Active24 (upload_max_filesize, post_max_size) a místem na disku – ověřit (otázka R11-f). Velká videa proto přednostně jako externí video (R11.5).</w:t>
      </w:r>
    </w:p>
    <w:p>
      <w:pPr>
        <w:pStyle w:val="Heading3"/>
        <w:spacing w:after="100" w:before="200"/>
      </w:pPr>
      <w:r>
        <w:t>R11.5 Videa</w:t>
      </w:r>
    </w:p>
    <w:p>
      <w:pPr>
        <w:pStyle w:val="ListParagraph"/>
        <w:numPr>
          <w:ilvl w:val="0"/>
          <w:numId w:val="1"/>
        </w:numPr>
        <w:spacing w:after="80" w:line="280"/>
      </w:pPr>
      <w:r>
        <w:t>Varianta A – soubor ke stažení na webu (R11.4): plná kontrola, ale zatěžuje disk a přenosy hostingu; vhodné pro kratší videa.</w:t>
      </w:r>
    </w:p>
    <w:p>
      <w:pPr>
        <w:pStyle w:val="ListParagraph"/>
        <w:numPr>
          <w:ilvl w:val="0"/>
          <w:numId w:val="1"/>
        </w:numPr>
        <w:spacing w:after="80" w:line="280"/>
      </w:pPr>
      <w:r>
        <w:t>Varianta B – externí přehrávač (doporučeno pro delší videa ke shlédnutí): Vimeo s omezením přehrávání na doménu slehkouhlavou.cz nebo YouTube „neveřejné“. Plugin vloží přehrávač jen přihlášenému s nárokem; adresa videa se nepíše do veřejného HTML. Pozor: u YouTube „neveřejné“ lze adresu po zjištění sdílet – skutečnou ochranu dává jen omezení na doménu (Vimeo, placený tarif). Volba u každé položky souboru.</w:t>
      </w:r>
    </w:p>
    <w:p>
      <w:pPr>
        <w:pStyle w:val="ListParagraph"/>
        <w:numPr>
          <w:ilvl w:val="0"/>
          <w:numId w:val="1"/>
        </w:numPr>
        <w:spacing w:after="80" w:line="280"/>
      </w:pPr>
      <w:r>
        <w:t>Úplná ochrana proti stažení a sdílení (DRM) není cílem – návrh brání náhodnému a snadnému sdílení, ne odhodlanému kopírování.</w:t>
      </w:r>
    </w:p>
    <w:p>
      <w:pPr>
        <w:pStyle w:val="Heading3"/>
        <w:spacing w:after="100" w:before="200"/>
      </w:pPr>
      <w:r>
        <w:t>R11.6 Web – katalog, detail a „Moje materiály“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Shortcode</w:t>
            </w:r>
          </w:p>
        </w:tc>
        <w:tc>
          <w:tcPr>
            <w:tcW w:type="dxa" w:w="6800"/>
            <w:shd w:fill="AE9333" w:val="clear"/>
            <w:tcMar>
              <w:top w:type="dxa" w:w="80"/>
              <w:left w:type="dxa" w:w="100"/>
              <w:bottom w:type="dxa" w:w="80"/>
              <w:right w:type="dxa" w:w="100"/>
            </w:tcMar>
          </w:tcPr>
          <w:p>
            <w:r>
              <w:rPr>
                <w:b/>
                <w:bCs/>
                <w:color w:val="FFFFFF"/>
              </w:rPr>
              <w:t>Popis</w:t>
            </w:r>
          </w:p>
        </w:tc>
      </w:tr>
      <w:tr>
        <w:tc>
          <w:tcPr>
            <w:tcW w:type="dxa" w:w="2600"/>
            <w:tcMar>
              <w:top w:type="dxa" w:w="80"/>
              <w:left w:type="dxa" w:w="100"/>
              <w:bottom w:type="dxa" w:w="80"/>
              <w:right w:type="dxa" w:w="100"/>
            </w:tcMar>
          </w:tcPr>
          <w:p>
            <w:r>
              <w:rPr>
                <w:b w:val="false"/>
                <w:bCs w:val="false"/>
              </w:rPr>
              <w:t>[reserveandpay_materials category="" type="" access="" filter="yes"]</w:t>
            </w:r>
          </w:p>
        </w:tc>
        <w:tc>
          <w:tcPr>
            <w:tcW w:type="dxa" w:w="6800"/>
            <w:tcMar>
              <w:top w:type="dxa" w:w="80"/>
              <w:left w:type="dxa" w:w="100"/>
              <w:bottom w:type="dxa" w:w="80"/>
              <w:right w:type="dxa" w:w="100"/>
            </w:tcMar>
          </w:tcPr>
          <w:p>
            <w:r>
              <w:rPr>
                <w:b w:val="false"/>
                <w:bCs w:val="false"/>
              </w:rPr>
              <w:t>Katalog materiálů (karty: náhled 3:4, druh, název, perex, cena / „zdarma pro přihlášené“ / „jen pro členy“, tlačítko) s filtrem kategorie a druhu</w:t>
            </w:r>
          </w:p>
        </w:tc>
      </w:tr>
      <w:tr>
        <w:tc>
          <w:tcPr>
            <w:tcW w:type="dxa" w:w="2600"/>
            <w:tcMar>
              <w:top w:type="dxa" w:w="80"/>
              <w:left w:type="dxa" w:w="100"/>
              <w:bottom w:type="dxa" w:w="80"/>
              <w:right w:type="dxa" w:w="100"/>
            </w:tcMar>
          </w:tcPr>
          <w:p>
            <w:r>
              <w:rPr>
                <w:b w:val="false"/>
                <w:bCs w:val="false"/>
              </w:rPr>
              <w:t>[reserveandpay_material id="MA-001"]</w:t>
            </w:r>
          </w:p>
        </w:tc>
        <w:tc>
          <w:tcPr>
            <w:tcW w:type="dxa" w:w="6800"/>
            <w:tcMar>
              <w:top w:type="dxa" w:w="80"/>
              <w:left w:type="dxa" w:w="100"/>
              <w:bottom w:type="dxa" w:w="80"/>
              <w:right w:type="dxa" w:w="100"/>
            </w:tcMar>
          </w:tcPr>
          <w:p>
            <w:r>
              <w:rPr>
                <w:b w:val="false"/>
                <w:bCs w:val="false"/>
              </w:rPr>
              <w:t>Karta / detail jednoho materiálu – vložení do článku nebo na stránku služby</w:t>
            </w:r>
          </w:p>
        </w:tc>
      </w:tr>
      <w:tr>
        <w:tc>
          <w:tcPr>
            <w:tcW w:type="dxa" w:w="2600"/>
            <w:tcMar>
              <w:top w:type="dxa" w:w="80"/>
              <w:left w:type="dxa" w:w="100"/>
              <w:bottom w:type="dxa" w:w="80"/>
              <w:right w:type="dxa" w:w="100"/>
            </w:tcMar>
          </w:tcPr>
          <w:p>
            <w:r>
              <w:rPr>
                <w:b w:val="false"/>
                <w:bCs w:val="false"/>
              </w:rPr>
              <w:t>[reserveandpay_my_materials]</w:t>
            </w:r>
          </w:p>
        </w:tc>
        <w:tc>
          <w:tcPr>
            <w:tcW w:type="dxa" w:w="6800"/>
            <w:tcMar>
              <w:top w:type="dxa" w:w="80"/>
              <w:left w:type="dxa" w:w="100"/>
              <w:bottom w:type="dxa" w:w="80"/>
              <w:right w:type="dxa" w:w="100"/>
            </w:tcMar>
          </w:tcPr>
          <w:p>
            <w:r>
              <w:rPr>
                <w:b w:val="false"/>
                <w:bCs w:val="false"/>
              </w:rPr>
              <w:t>Moje materiály: dostupné materiály přihlášeného uživatele s tlačítky ke stažení, nezaplacené objednávky s QR kódem, historie objednávek; nepřihlášenému formulář přihlášení</w:t>
            </w:r>
          </w:p>
        </w:tc>
      </w:tr>
    </w:tbl>
    <w:p>
      <w:pPr>
        <w:pStyle w:val="ListParagraph"/>
        <w:numPr>
          <w:ilvl w:val="0"/>
          <w:numId w:val="1"/>
        </w:numPr>
        <w:spacing w:after="80" w:line="280"/>
      </w:pPr>
      <w:r>
        <w:t>Detail materiálu (/materialy/…/) se vykresluje automaticky: záhlaví (druh, název, perex, cena) vedle náhledu, popis, seznam souborů s velikostí a stav pro aktuálního uživatele (Přihlaste se · Koupit · Čeká na platbu · Stáhnout).</w:t>
      </w:r>
    </w:p>
    <w:p>
      <w:pPr>
        <w:pStyle w:val="ListParagraph"/>
        <w:numPr>
          <w:ilvl w:val="0"/>
          <w:numId w:val="1"/>
        </w:numPr>
        <w:spacing w:after="80" w:line="280"/>
      </w:pPr>
      <w:r>
        <w:t>Vzhled dle grafického manuálu (Fraunces + Work Sans, zlatá, plum, soustředné kružnice jako zástupný motiv), CSS proměnné --rap-*.</w:t>
      </w:r>
    </w:p>
    <w:p>
      <w:pPr>
        <w:pStyle w:val="ListParagraph"/>
        <w:numPr>
          <w:ilvl w:val="0"/>
          <w:numId w:val="1"/>
        </w:numPr>
        <w:spacing w:after="80" w:line="280"/>
      </w:pPr>
      <w:r>
        <w:t>Odkaz „Moje materiály“ v menu / v účtu Ultimate Member (záložka účtu, pokud to UM umožní; jinak samostatná stránka).</w:t>
      </w:r>
    </w:p>
    <w:p>
      <w:pPr>
        <w:pStyle w:val="Heading3"/>
        <w:spacing w:after="100" w:before="200"/>
      </w:pPr>
      <w:r>
        <w:t>R11.7 Administrace</w:t>
      </w:r>
    </w:p>
    <w:p>
      <w:pPr>
        <w:pStyle w:val="ListParagraph"/>
        <w:numPr>
          <w:ilvl w:val="0"/>
          <w:numId w:val="1"/>
        </w:numPr>
        <w:spacing w:after="80" w:line="280"/>
      </w:pPr>
      <w:r>
        <w:t>ResAndPay → Materiály: seznam s kódem, druhem, přístupem, cenou, počtem objednávek, zaplacených a stažení.</w:t>
      </w:r>
    </w:p>
    <w:p>
      <w:pPr>
        <w:pStyle w:val="ListParagraph"/>
        <w:numPr>
          <w:ilvl w:val="0"/>
          <w:numId w:val="1"/>
        </w:numPr>
        <w:spacing w:after="80" w:line="280"/>
      </w:pPr>
      <w:r>
        <w:t>U materiálu záložka Přístupy: kdo má nárok a odkud (zdarma / VS objednávky / role / ručně / akce); ruční přidělení nároku uživateli (dárek, reklamace) a odebrání s důvodem.</w:t>
      </w:r>
    </w:p>
    <w:p>
      <w:pPr>
        <w:pStyle w:val="ListParagraph"/>
        <w:numPr>
          <w:ilvl w:val="0"/>
          <w:numId w:val="1"/>
        </w:numPr>
        <w:spacing w:after="80" w:line="280"/>
      </w:pPr>
      <w:r>
        <w:t>Objednávky materiálů v přehledu rezervací a plateb (filtr druhu „materiál“), detail objednávky jako u rezervace.</w:t>
      </w:r>
    </w:p>
    <w:p>
      <w:pPr>
        <w:pStyle w:val="ListParagraph"/>
        <w:numPr>
          <w:ilvl w:val="0"/>
          <w:numId w:val="1"/>
        </w:numPr>
        <w:spacing w:after="80" w:line="280"/>
      </w:pPr>
      <w:r>
        <w:t>Statistika (R1) doplněná o materiály: objednávky, předepsáno / zaplaceno, počet stažení za období, export CSV.</w:t>
      </w:r>
    </w:p>
    <w:p>
      <w:pPr>
        <w:pStyle w:val="ListParagraph"/>
        <w:numPr>
          <w:ilvl w:val="0"/>
          <w:numId w:val="1"/>
        </w:numPr>
        <w:spacing w:after="80" w:line="280"/>
      </w:pPr>
      <w:r>
        <w:t>Nastavení → Materiály: předpona kódu, výchozí splatnost, limit stažení, platnost odkazu, doba uchování logu, číselník druhů, texty tlačítek a hlášek, šablony e-mailů (Objednávka materiálu – platební pokyn, Materiál je připraven, Expirace objednávky).</w:t>
      </w:r>
    </w:p>
    <w:p>
      <w:pPr>
        <w:pStyle w:val="Heading3"/>
        <w:spacing w:after="100" w:before="200"/>
      </w:pPr>
      <w:r>
        <w:t>R11.8 Otázky k upřesnění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w:t>
            </w:r>
          </w:p>
        </w:tc>
        <w:tc>
          <w:tcPr>
            <w:tcW w:type="dxa" w:w="6800"/>
            <w:shd w:fill="AE9333" w:val="clear"/>
            <w:tcMar>
              <w:top w:type="dxa" w:w="80"/>
              <w:left w:type="dxa" w:w="100"/>
              <w:bottom w:type="dxa" w:w="80"/>
              <w:right w:type="dxa" w:w="100"/>
            </w:tcMar>
          </w:tcPr>
          <w:p>
            <w:r>
              <w:rPr>
                <w:b/>
                <w:bCs/>
                <w:color w:val="FFFFFF"/>
              </w:rPr>
              <w:t>Otázka</w:t>
            </w:r>
          </w:p>
        </w:tc>
      </w:tr>
      <w:tr>
        <w:tc>
          <w:tcPr>
            <w:tcW w:type="dxa" w:w="2600"/>
            <w:tcMar>
              <w:top w:type="dxa" w:w="80"/>
              <w:left w:type="dxa" w:w="100"/>
              <w:bottom w:type="dxa" w:w="80"/>
              <w:right w:type="dxa" w:w="100"/>
            </w:tcMar>
          </w:tcPr>
          <w:p>
            <w:r>
              <w:rPr>
                <w:b w:val="false"/>
                <w:bCs w:val="false"/>
              </w:rPr>
              <w:t>R11-a</w:t>
            </w:r>
          </w:p>
        </w:tc>
        <w:tc>
          <w:tcPr>
            <w:tcW w:type="dxa" w:w="6800"/>
            <w:tcMar>
              <w:top w:type="dxa" w:w="80"/>
              <w:left w:type="dxa" w:w="100"/>
              <w:bottom w:type="dxa" w:w="80"/>
              <w:right w:type="dxa" w:w="100"/>
            </w:tcMar>
          </w:tcPr>
          <w:p>
            <w:r>
              <w:rPr>
                <w:b w:val="false"/>
                <w:bCs w:val="false"/>
              </w:rPr>
              <w:t>Videa: soubory na webu, Vimeo s omezením na doménu (placený tarif), nebo YouTube „neveřejné“? Případně kombinace podle délky.</w:t>
            </w:r>
          </w:p>
        </w:tc>
      </w:tr>
      <w:tr>
        <w:tc>
          <w:tcPr>
            <w:tcW w:type="dxa" w:w="2600"/>
            <w:tcMar>
              <w:top w:type="dxa" w:w="80"/>
              <w:left w:type="dxa" w:w="100"/>
              <w:bottom w:type="dxa" w:w="80"/>
              <w:right w:type="dxa" w:w="100"/>
            </w:tcMar>
          </w:tcPr>
          <w:p>
            <w:r>
              <w:rPr>
                <w:b w:val="false"/>
                <w:bCs w:val="false"/>
              </w:rPr>
              <w:t>R11-b</w:t>
            </w:r>
          </w:p>
        </w:tc>
        <w:tc>
          <w:tcPr>
            <w:tcW w:type="dxa" w:w="6800"/>
            <w:tcMar>
              <w:top w:type="dxa" w:w="80"/>
              <w:left w:type="dxa" w:w="100"/>
              <w:bottom w:type="dxa" w:w="80"/>
              <w:right w:type="dxa" w:w="100"/>
            </w:tcMar>
          </w:tcPr>
          <w:p>
            <w:r>
              <w:rPr>
                <w:b w:val="false"/>
                <w:bCs w:val="false"/>
              </w:rPr>
              <w:t>Objednávka placeného materiálu jen pro přihlášené (návrh), nebo i bez účtu s automatickým založením účtu po zaplacení (odkaz „nastavte si heslo“, kap. 7.2a)?</w:t>
            </w:r>
          </w:p>
        </w:tc>
      </w:tr>
      <w:tr>
        <w:tc>
          <w:tcPr>
            <w:tcW w:type="dxa" w:w="2600"/>
            <w:tcMar>
              <w:top w:type="dxa" w:w="80"/>
              <w:left w:type="dxa" w:w="100"/>
              <w:bottom w:type="dxa" w:w="80"/>
              <w:right w:type="dxa" w:w="100"/>
            </w:tcMar>
          </w:tcPr>
          <w:p>
            <w:r>
              <w:rPr>
                <w:b w:val="false"/>
                <w:bCs w:val="false"/>
              </w:rPr>
              <w:t>R11-c</w:t>
            </w:r>
          </w:p>
        </w:tc>
        <w:tc>
          <w:tcPr>
            <w:tcW w:type="dxa" w:w="6800"/>
            <w:tcMar>
              <w:top w:type="dxa" w:w="80"/>
              <w:left w:type="dxa" w:w="100"/>
              <w:bottom w:type="dxa" w:w="80"/>
              <w:right w:type="dxa" w:w="100"/>
            </w:tcMar>
          </w:tcPr>
          <w:p>
            <w:r>
              <w:rPr>
                <w:b w:val="false"/>
                <w:bCs w:val="false"/>
              </w:rPr>
              <w:t>Doba přístupu k zakoupenému materiálu: neomezeně (návrh), nebo časově omezená (např. 12 měsíců)?</w:t>
            </w:r>
          </w:p>
        </w:tc>
      </w:tr>
      <w:tr>
        <w:tc>
          <w:tcPr>
            <w:tcW w:type="dxa" w:w="2600"/>
            <w:tcMar>
              <w:top w:type="dxa" w:w="80"/>
              <w:left w:type="dxa" w:w="100"/>
              <w:bottom w:type="dxa" w:w="80"/>
              <w:right w:type="dxa" w:w="100"/>
            </w:tcMar>
          </w:tcPr>
          <w:p>
            <w:r>
              <w:rPr>
                <w:b w:val="false"/>
                <w:bCs w:val="false"/>
              </w:rPr>
              <w:t>R11-d</w:t>
            </w:r>
          </w:p>
        </w:tc>
        <w:tc>
          <w:tcPr>
            <w:tcW w:type="dxa" w:w="6800"/>
            <w:tcMar>
              <w:top w:type="dxa" w:w="80"/>
              <w:left w:type="dxa" w:w="100"/>
              <w:bottom w:type="dxa" w:w="80"/>
              <w:right w:type="dxa" w:w="100"/>
            </w:tcMar>
          </w:tcPr>
          <w:p>
            <w:r>
              <w:rPr>
                <w:b w:val="false"/>
                <w:bCs w:val="false"/>
              </w:rPr>
              <w:t>Mají účastnice placených akcí / služeb dostávat vybrané materiály zdarma (vazba materiál ↔ akce)?</w:t>
            </w:r>
          </w:p>
        </w:tc>
      </w:tr>
      <w:tr>
        <w:tc>
          <w:tcPr>
            <w:tcW w:type="dxa" w:w="2600"/>
            <w:tcMar>
              <w:top w:type="dxa" w:w="80"/>
              <w:left w:type="dxa" w:w="100"/>
              <w:bottom w:type="dxa" w:w="80"/>
              <w:right w:type="dxa" w:w="100"/>
            </w:tcMar>
          </w:tcPr>
          <w:p>
            <w:r>
              <w:rPr>
                <w:b w:val="false"/>
                <w:bCs w:val="false"/>
              </w:rPr>
              <w:t>R11-e</w:t>
            </w:r>
          </w:p>
        </w:tc>
        <w:tc>
          <w:tcPr>
            <w:tcW w:type="dxa" w:w="6800"/>
            <w:tcMar>
              <w:top w:type="dxa" w:w="80"/>
              <w:left w:type="dxa" w:w="100"/>
              <w:bottom w:type="dxa" w:w="80"/>
              <w:right w:type="dxa" w:w="100"/>
            </w:tcMar>
          </w:tcPr>
          <w:p>
            <w:r>
              <w:rPr>
                <w:b w:val="false"/>
                <w:bCs w:val="false"/>
              </w:rPr>
              <w:t>Osobní vodoznak v PDF – hned, nebo později?</w:t>
            </w:r>
          </w:p>
        </w:tc>
      </w:tr>
      <w:tr>
        <w:tc>
          <w:tcPr>
            <w:tcW w:type="dxa" w:w="2600"/>
            <w:tcMar>
              <w:top w:type="dxa" w:w="80"/>
              <w:left w:type="dxa" w:w="100"/>
              <w:bottom w:type="dxa" w:w="80"/>
              <w:right w:type="dxa" w:w="100"/>
            </w:tcMar>
          </w:tcPr>
          <w:p>
            <w:r>
              <w:rPr>
                <w:b w:val="false"/>
                <w:bCs w:val="false"/>
              </w:rPr>
              <w:t>R11-f</w:t>
            </w:r>
          </w:p>
        </w:tc>
        <w:tc>
          <w:tcPr>
            <w:tcW w:type="dxa" w:w="6800"/>
            <w:tcMar>
              <w:top w:type="dxa" w:w="80"/>
              <w:left w:type="dxa" w:w="100"/>
              <w:bottom w:type="dxa" w:w="80"/>
              <w:right w:type="dxa" w:w="100"/>
            </w:tcMar>
          </w:tcPr>
          <w:p>
            <w:r>
              <w:rPr>
                <w:b w:val="false"/>
                <w:bCs w:val="false"/>
              </w:rPr>
              <w:t>Active24: limit velikosti nahrávaného souboru, místo na disku, podpora .htaccess pro chráněnou složku.</w:t>
            </w:r>
          </w:p>
        </w:tc>
      </w:tr>
      <w:tr>
        <w:tc>
          <w:tcPr>
            <w:tcW w:type="dxa" w:w="2600"/>
            <w:tcMar>
              <w:top w:type="dxa" w:w="80"/>
              <w:left w:type="dxa" w:w="100"/>
              <w:bottom w:type="dxa" w:w="80"/>
              <w:right w:type="dxa" w:w="100"/>
            </w:tcMar>
          </w:tcPr>
          <w:p>
            <w:r>
              <w:rPr>
                <w:b w:val="false"/>
                <w:bCs w:val="false"/>
              </w:rPr>
              <w:t>R11-g</w:t>
            </w:r>
          </w:p>
        </w:tc>
        <w:tc>
          <w:tcPr>
            <w:tcW w:type="dxa" w:w="6800"/>
            <w:tcMar>
              <w:top w:type="dxa" w:w="80"/>
              <w:left w:type="dxa" w:w="100"/>
              <w:bottom w:type="dxa" w:w="80"/>
              <w:right w:type="dxa" w:w="100"/>
            </w:tcMar>
          </w:tcPr>
          <w:p>
            <w:r>
              <w:rPr>
                <w:b w:val="false"/>
                <w:bCs w:val="false"/>
              </w:rPr>
              <w:t>Konkrétní první materiály (názvy, druh, velikost, zdarma / cena) – pro test a odhad místa na disku.</w:t>
            </w:r>
          </w:p>
        </w:tc>
      </w:tr>
      <w:tr>
        <w:tc>
          <w:tcPr>
            <w:tcW w:type="dxa" w:w="2600"/>
            <w:tcMar>
              <w:top w:type="dxa" w:w="80"/>
              <w:left w:type="dxa" w:w="100"/>
              <w:bottom w:type="dxa" w:w="80"/>
              <w:right w:type="dxa" w:w="100"/>
            </w:tcMar>
          </w:tcPr>
          <w:p>
            <w:r>
              <w:rPr>
                <w:b w:val="false"/>
                <w:bCs w:val="false"/>
              </w:rPr>
              <w:t>R11-h</w:t>
            </w:r>
          </w:p>
        </w:tc>
        <w:tc>
          <w:tcPr>
            <w:tcW w:type="dxa" w:w="6800"/>
            <w:tcMar>
              <w:top w:type="dxa" w:w="80"/>
              <w:left w:type="dxa" w:w="100"/>
              <w:bottom w:type="dxa" w:w="80"/>
              <w:right w:type="dxa" w:w="100"/>
            </w:tcMar>
          </w:tcPr>
          <w:p>
            <w:r>
              <w:rPr>
                <w:b w:val="false"/>
                <w:bCs w:val="false"/>
              </w:rPr>
              <w:t>Prodej digitálního obsahu spotřebitelům: znění souhlasu se ztrátou práva na odstoupení a daňová stránka (navazuje na otázku 5) – ověřit s právníkem a účetní.</w:t>
            </w:r>
          </w:p>
        </w:tc>
      </w:tr>
    </w:tbl>
    <w:p>
      <w:pPr>
        <w:pStyle w:val="Heading3"/>
        <w:spacing w:after="100" w:before="200"/>
      </w:pPr>
      <w:r>
        <w:t>R11.9 Odhad a etapizace</w:t>
      </w:r>
    </w:p>
    <w:p>
      <w:pPr>
        <w:pStyle w:val="ListParagraph"/>
        <w:numPr>
          <w:ilvl w:val="0"/>
          <w:numId w:val="1"/>
        </w:numPr>
        <w:spacing w:after="80" w:line="280"/>
      </w:pPr>
      <w:r>
        <w:t>M1 – materiály zdarma pro přihlášené: CPT Materiál, kódy, chráněné soubory, stahování s tokenem a Range, limit a log, katalog, detail, Moje materiály, administrace: 4–6 člověkodní.</w:t>
      </w:r>
    </w:p>
    <w:p>
      <w:pPr>
        <w:pStyle w:val="ListParagraph"/>
        <w:numPr>
          <w:ilvl w:val="0"/>
          <w:numId w:val="1"/>
        </w:numPr>
        <w:spacing w:after="80" w:line="280"/>
      </w:pPr>
      <w:r>
        <w:t>M2 – placené materiály: objednávka bez termínu ve stávajícím platebním toku, souhlas s digitálním obsahem, kupóny, e-maily, nároky, statistika: 3–4 člověkodny.</w:t>
      </w:r>
    </w:p>
    <w:p>
      <w:pPr>
        <w:pStyle w:val="ListParagraph"/>
        <w:numPr>
          <w:ilvl w:val="0"/>
          <w:numId w:val="1"/>
        </w:numPr>
        <w:spacing w:after="80" w:line="280"/>
      </w:pPr>
      <w:r>
        <w:t>M3 – volitelné: externí video (Vimeo/YouTube), vazba na akce, vodoznak PDF: 2–3 člověkodny.</w:t>
      </w:r>
    </w:p>
    <w:p>
      <w:pPr>
        <w:pStyle w:val="ListParagraph"/>
        <w:numPr>
          <w:ilvl w:val="0"/>
          <w:numId w:val="1"/>
        </w:numPr>
        <w:spacing w:after="80" w:line="280"/>
      </w:pPr>
      <w:r>
        <w:t>Po schválení se R11 přesune do kap. 3.5 a kap. 8 a do tabulky stavu realizace; implementace jako plugin 0.13.0 (M1) a 0.14.0 (M2).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dc:title>ReserveAndPay WP plugin – analytické zadání v5.6</dc:title>
</cp:coreProperties>
</file>

<file path=docProps/custom.xml><?xml version="1.0" encoding="utf-8"?>
<Properties xmlns="http://schemas.openxmlformats.org/officeDocument/2006/custom-properties" xmlns:vt="http://schemas.openxmlformats.org/officeDocument/2006/docPropsVTypes"/>
</file>