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E3D57"/>
          <w:sz w:val="44"/>
        </w:rPr>
        <w:t>SPEECH EJECUTIVO - AURIXA</w:t>
      </w:r>
    </w:p>
    <w:p>
      <w:pPr>
        <w:jc w:val="center"/>
      </w:pPr>
      <w:r>
        <w:rPr>
          <w:b/>
          <w:color w:val="0C6866"/>
          <w:sz w:val="26"/>
        </w:rPr>
        <w:t>Version de 60 segundos para apertura de reunion</w:t>
      </w:r>
    </w:p>
    <w:p>
      <w:pPr>
        <w:spacing w:after="280"/>
      </w:pPr>
    </w:p>
    <w:p>
      <w:pPr>
        <w:jc w:val="center"/>
      </w:pPr>
      <w:r>
        <w:rPr>
          <w:color w:val="222222"/>
          <w:sz w:val="20"/>
        </w:rPr>
        <w:t>Documento generado para presentacion ejecutiva</w:t>
        <w:br/>
        <w:t>Fuente: markdown fuente</w:t>
      </w:r>
    </w:p>
    <w:p/>
    <w:p/>
    <w:p>
      <w:pPr>
        <w:sectPr>
          <w:footerReference w:type="default" r:id="rId9"/>
          <w:pgSz w:w="12240" w:h="15840"/>
          <w:pgMar w:top="1080" w:right="1152" w:bottom="1080" w:left="1152" w:header="720" w:footer="720" w:gutter="0"/>
          <w:cols w:space="720"/>
          <w:docGrid w:linePitch="360"/>
        </w:sectPr>
      </w:pPr>
    </w:p>
    <w:p>
      <w:pPr>
        <w:pStyle w:val="Title"/>
      </w:pPr>
      <w:r>
        <w:t>SPEECH EJECUTIVO - AURIXA</w:t>
      </w:r>
    </w:p>
    <w:p>
      <w:pPr>
        <w:pStyle w:val="Heading1"/>
      </w:pPr>
      <w:r>
        <w:t>Version de 60 segundos para apertura de reunion</w:t>
      </w:r>
    </w:p>
    <w:p>
      <w:pPr>
        <w:spacing w:after="120"/>
      </w:pPr>
      <w:r>
        <w:rPr>
          <w:rFonts w:ascii="Calibri" w:hAnsi="Calibri"/>
          <w:sz w:val="21"/>
        </w:rPr>
        <w:t>Buenos dias.</w:t>
      </w:r>
    </w:p>
    <w:p>
      <w:pPr>
        <w:spacing w:after="120"/>
      </w:pPr>
      <w:r>
        <w:rPr>
          <w:rFonts w:ascii="Calibri" w:hAnsi="Calibri"/>
          <w:sz w:val="21"/>
        </w:rPr>
        <w:t>Lo que hoy se presenta para aprobacion no es solo un desarrollo tecnologico. Es una decision para ordenar control operacional, continuidad del negocio y trazabilidad sobre un frente critico para la compania.</w:t>
      </w:r>
    </w:p>
    <w:p>
      <w:pPr>
        <w:spacing w:after="120"/>
      </w:pPr>
      <w:r>
        <w:rPr>
          <w:rFonts w:ascii="Calibri" w:hAnsi="Calibri"/>
          <w:sz w:val="21"/>
        </w:rPr>
        <w:t>AURIXA propone consolidar en una sola plataforma la informacion operativa, la evidencia tecnica, el monitoreo de eventos, la gestion documental y el trabajo offline, bajo una arquitectura soberana en Lima y una ejecucion por etapas durante 26 semanas.</w:t>
      </w:r>
    </w:p>
    <w:p>
      <w:pPr>
        <w:spacing w:after="120"/>
      </w:pPr>
      <w:r>
        <w:rPr>
          <w:rFonts w:ascii="Calibri" w:hAnsi="Calibri"/>
          <w:sz w:val="21"/>
        </w:rPr>
        <w:t>El valor de este SOW es que convierte una iniciativa tecnica en un proyecto gobernable: define alcance, hitos, criterios de aceptacion, riesgos, responsables y una lectura economica mas realista para decidir con mayor visibilidad.</w:t>
      </w:r>
    </w:p>
    <w:p>
      <w:pPr>
        <w:spacing w:after="120"/>
      </w:pPr>
      <w:r>
        <w:rPr>
          <w:rFonts w:ascii="Calibri" w:hAnsi="Calibri"/>
          <w:sz w:val="21"/>
        </w:rPr>
        <w:t>Mi recomendacion es aprobar esta base para cierre de firma, porque permite pasar de un avance disperso a una implementacion controlada, con beneficios directos en control, continuidad y capacidad de gestion para la operacion minera.</w:t>
      </w:r>
    </w:p>
    <w:sectPr w:rsidR="00FC693F" w:rsidRPr="0006063C" w:rsidSect="00034616"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0C6866"/>
        <w:sz w:val="17"/>
      </w:rPr>
      <w:t>AURIXA 2026 - Documento de presentacion ejecutiva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2222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E3D57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C6866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E3D57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0E3D57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Calibri" w:hAnsi="Calibri"/>
      <w:i/>
      <w:iCs/>
      <w:color w:val="000000" w:themeColor="text1"/>
      <w:sz w:val="2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Calibri" w:hAnsi="Calibri"/>
      <w:sz w:val="19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OWBullet">
    <w:name w:val="SOW Bullet"/>
    <w:basedOn w:val="Normal"/>
    <w:rPr>
      <w:rFonts w:ascii="Calibri" w:hAnsi="Calibri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