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framePr w:w="11906" w:h="16838" w:x="0" w:y="0" w:hAnchor="page" w:vAnchor="page" w:wrap="none"/>
      </w:pPr>
      <w:r>
        <w:drawing>
          <wp:inline distT="0" distB="0" distL="0" distR="0">
            <wp:extent cx="7562850" cy="1069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0" cy="1069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spacing w:after="200"/>
      </w:pPr>
      <w:r>
        <w:rPr>
          <w:b/>
          <w:bCs/>
          <w:sz w:val="27"/>
          <w:szCs w:val="27"/>
        </w:rPr>
        <w:t xml:space="preserve">Tabla de Contenidos</w:t>
      </w:r>
    </w:p>
    <w:sdt>
      <w:sdtPr>
        <w:alias w:val="Índice"/>
      </w:sdtPr>
      <w:sdtContent>
        <w:p>
          <w:r>
            <w:fldChar w:fldCharType="begin" w:dirty="true"/>
            <w:instrText xml:space="preserve">TOC \h \o "1-6"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type w:val="nextPage"/>
          <w:pgSz w:w="11906" w:h="16838" w:orient="portrait"/>
          <w:pgMar w:top="1080" w:right="540" w:bottom="930" w:left="540" w:header="300" w:footer="300" w:gutter="0"/>
          <w:pgNumType/>
          <w:docGrid w:linePitch="360"/>
        </w:sectPr>
      </w:pPr>
    </w:p>
    <w:p>
      <w:pPr>
        <w:pStyle w:val="Heading1"/>
        <w:framePr w:w="10826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1. Verificación de Formato Enriquecido</w:t>
      </w:r>
    </w:p>
    <w:p>
      <w:pPr>
        <w:framePr w:w="10826" w:h="1350" w:x="540" w:y="1830" w:hAnchor="page" w:vAnchor="page" w:wrap="none"/>
        <w:jc w:val="left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Este parrafo combina </w:t>
      </w:r>
      <w:r>
        <w:rPr>
          <w:rFonts w:ascii="Arial" w:cs="Arial" w:eastAsia="Arial" w:hAnsi="Arial"/>
          <w:b/>
          <w:bCs/>
          <w:color w:val="1E293B"/>
          <w:sz w:val="18"/>
          <w:szCs w:val="18"/>
        </w:rPr>
        <w:t xml:space="preserve">VARIOS estilos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 dentro del </w:t>
      </w:r>
      <w:r>
        <w:rPr>
          <w:rFonts w:ascii="Arial" w:cs="Arial" w:eastAsia="Arial" w:hAnsi="Arial"/>
          <w:i/>
          <w:iCs/>
          <w:color w:val="1D4ED8"/>
          <w:sz w:val="18"/>
          <w:szCs w:val="18"/>
        </w:rPr>
        <w:t xml:space="preserve">MISMO bloque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 de texto para verificar que buildStyledSegments/htmlCellToRuns reproduzcan cada rango exactamente: </w:t>
      </w:r>
      <w:r>
        <w:rPr>
          <w:rFonts w:ascii="Arial" w:cs="Arial" w:eastAsia="Arial" w:hAnsi="Arial"/>
          <w:color w:val="1E293B"/>
          <w:sz w:val="18"/>
          <w:szCs w:val="18"/>
          <w:u w:val="single"/>
        </w:rPr>
        <w:t xml:space="preserve">negrita, cursiva, subrayado, color y </w:t>
      </w:r>
      <w:r>
        <w:rPr>
          <w:rFonts w:ascii="Arial" w:cs="Arial" w:eastAsia="Arial" w:hAnsi="Arial"/>
          <w:b/>
          <w:bCs/>
          <w:color w:val="B91C1C"/>
          <w:sz w:val="18"/>
          <w:szCs w:val="18"/>
          <w:highlight w:val="yellow"/>
          <w:highlightCs w:val="yellow"/>
          <w:u w:val="single"/>
        </w:rPr>
        <w:t xml:space="preserve">resaltado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, todo en una sola oracion continua sin saltos de bloque.</w:t>
      </w:r>
    </w:p>
    <w:p>
      <w:pPr>
        <w:pStyle w:val="Heading2"/>
        <w:framePr w:w="10826" w:h="450" w:x="540" w:y="34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40AF"/>
          <w:sz w:val="27"/>
          <w:szCs w:val="27"/>
        </w:rPr>
        <w:t xml:space="preserve">1.1 Encabezados anidados H1–H3</w:t>
      </w:r>
    </w:p>
    <w:p>
      <w:pPr>
        <w:pStyle w:val="Heading3"/>
        <w:framePr w:w="10826" w:h="390" w:x="540" w:y="4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334155"/>
          <w:sz w:val="23"/>
          <w:szCs w:val="23"/>
        </w:rPr>
        <w:t xml:space="preserve">1.1.1 Subsección de prueba</w:t>
      </w:r>
    </w:p>
    <w:p>
      <w:pPr>
        <w:framePr w:w="10826" w:h="900" w:x="540" w:y="4560" w:hAnchor="page" w:vAnchor="page" w:wrap="none"/>
        <w:jc w:val="left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Encabezados H1/H2/H3 con estilos con nombre reales de Word (Heading1..3) -- el indice de la pagina 2 debe navegar correctamente a cada uno de estos tres niveles.</w:t>
      </w:r>
    </w:p>
    <w:p>
      <w:pPr>
        <w:pStyle w:val="Heading2"/>
        <w:framePr w:w="10826" w:h="450" w:x="540" w:y="55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40AF"/>
          <w:sz w:val="27"/>
          <w:szCs w:val="27"/>
        </w:rPr>
        <w:t xml:space="preserve">1.2 Tabla con celdas HTML enriquecidas</w:t>
      </w:r>
    </w:p>
    <w:tbl>
      <w:tblPr>
        <w:tblpPr w:tblpX="540" w:tblpY="6120" w:horzAnchor="page" w:vertAnchor="page">
          <w:tblOverlap w:val="never"/>
        </w:tblpPr>
        <w:tblW w:type="dxa" w:w="108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7365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7365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17365D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Referencia</w:t>
            </w:r>
          </w:p>
        </w:tc>
      </w:tr>
      <w:tr>
        <w:trPr>
          <w:tblHeader w:val="false"/>
        </w:trPr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Resistencia a la Compresión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Óptimo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hyperlink w:history="1" r:id="rId3ymleaszvr9ntv4ttppdg">
              <w:r>
                <w:rPr>
                  <w:sz w:val="18"/>
                  <w:szCs w:val="18"/>
                </w:rPr>
                <w:t xml:space="preserve">IGP</w:t>
              </w:r>
            </w:hyperlink>
          </w:p>
        </w:tc>
      </w:tr>
      <w:tr>
        <w:trPr>
          <w:tblHeader w:val="false"/>
        </w:trPr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i/>
                <w:iCs/>
                <w:sz w:val="18"/>
                <w:szCs w:val="18"/>
              </w:rPr>
              <w:t xml:space="preserve">Buzamiento Promedio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Precaución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Hoek &amp; Brown 2002</w:t>
            </w:r>
          </w:p>
        </w:tc>
      </w:tr>
      <w:tr>
        <w:trPr>
          <w:tblHeader w:val="false"/>
        </w:trPr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RQD </w:t>
            </w:r>
            <w:r>
              <w:rPr>
                <w:sz w:val="18"/>
                <w:szCs w:val="18"/>
                <w:u w:val="single"/>
              </w:rPr>
              <w:t xml:space="preserve">Calculado</w:t>
            </w:r>
            <w:r>
              <w:rPr>
                <w:sz w:val="18"/>
                <w:szCs w:val="18"/>
              </w:rPr>
              <w:t xml:space="preserve"> (Redes Neuronales)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Bueno</w:t>
            </w:r>
          </w:p>
        </w:tc>
        <w:tc>
          <w:tcPr>
            <w:tcW w:type="dxa" w:w="3555"/>
            <w:tcBorders>
              <w:top w:val="single" w:color="94A3B8" w:sz="4"/>
              <w:left w:val="single" w:color="94A3B8" w:sz="4"/>
              <w:bottom w:val="single" w:color="94A3B8" w:sz="4"/>
              <w:right w:val="single" w:color="94A3B8" w:sz="4"/>
            </w:tcBorders>
            <w:shd w:fill="F5F8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ISRM 2007</w:t>
            </w:r>
          </w:p>
        </w:tc>
      </w:tr>
    </w:tbl>
    <w:p>
      <w:pPr>
        <w:sectPr>
          <w:headerReference w:type="default" r:id="rId9"/>
          <w:footerReference w:type="default" r:id="rId10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1"/>
        <w:framePr w:w="10826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2. Dashboards de Sensores — Prueba de Escala (multi-panel)</w:t>
      </w:r>
    </w:p>
    <w:p>
      <w:pPr>
        <w:framePr w:w="5308" w:h="10650" w:x="540" w:y="168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1233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Columnas + Áreas</w:t>
      </w:r>
    </w:p>
    <w:p>
      <w:pPr>
        <w:framePr w:w="5308" w:h="10650" w:x="6058" w:y="168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1233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Combinado + Dispersión (XY)</w:t>
      </w:r>
    </w:p>
    <w:p>
      <w:pPr>
        <w:framePr w:w="5308" w:h="14070" w:x="540" w:y="6420" w:hAnchor="page" w:vAnchor="page" w:wrap="around"/>
      </w:pPr>
      <w:r>
        <w:drawing>
          <wp:inline distT="0" distB="0" distL="0" distR="0">
            <wp:extent cx="3371850" cy="893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2049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Escalón + Áreas + Columnas</w:t>
      </w:r>
    </w:p>
    <w:p>
      <w:pPr>
        <w:framePr w:w="5308" w:h="10650" w:x="6058" w:y="642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1707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Columnas + Radial + Circular</w:t>
      </w:r>
    </w:p>
    <w:p>
      <w:pPr>
        <w:sectPr>
          <w:headerReference w:type="default" r:id="rId11"/>
          <w:footerReference w:type="default" r:id="rId12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2"/>
        <w:framePr w:w="10826" w:h="45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40AF"/>
          <w:sz w:val="27"/>
          <w:szCs w:val="27"/>
        </w:rPr>
        <w:t xml:space="preserve">2.2 Dashboards adicionales</w:t>
      </w:r>
    </w:p>
    <w:p>
      <w:pPr>
        <w:framePr w:w="5308" w:h="7230" w:x="540" w:y="162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885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Anillo</w:t>
      </w:r>
    </w:p>
    <w:p>
      <w:pPr>
        <w:framePr w:w="5308" w:h="10650" w:x="6058" w:y="162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1227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Columnas + Cajas y bigotes</w:t>
      </w:r>
    </w:p>
    <w:p>
      <w:pPr>
        <w:framePr w:w="5308" w:h="7230" w:x="540" w:y="636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1359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Áreas</w:t>
      </w:r>
    </w:p>
    <w:p>
      <w:pPr>
        <w:framePr w:w="5308" w:h="10650" w:x="6058" w:y="636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1701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Columnas + Dispersión (XY) + Cascada</w:t>
      </w:r>
    </w:p>
    <w:p>
      <w:pPr>
        <w:sectPr>
          <w:headerReference w:type="default" r:id="rId13"/>
          <w:footerReference w:type="default" r:id="rId14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2"/>
        <w:framePr w:w="10826" w:h="45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40AF"/>
          <w:sz w:val="27"/>
          <w:szCs w:val="27"/>
        </w:rPr>
        <w:t xml:space="preserve">2.3 Dashboards adicionales</w:t>
      </w:r>
    </w:p>
    <w:p>
      <w:pPr>
        <w:framePr w:w="5308" w:h="10650" w:x="540" w:y="162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1227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Radial + Embudo</w:t>
      </w:r>
    </w:p>
    <w:p>
      <w:pPr>
        <w:framePr w:w="5308" w:h="7230" w:x="6058" w:y="162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885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Escalón</w:t>
      </w:r>
    </w:p>
    <w:p>
      <w:pPr>
        <w:framePr w:w="5308" w:h="10650" w:x="540" w:y="6360" w:hAnchor="page" w:vAnchor="page" w:wrap="around"/>
      </w:pPr>
      <w:r>
        <w:drawing>
          <wp:inline distT="0" distB="0" distL="0" distR="0">
            <wp:extent cx="3371850" cy="676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676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1701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Columnas + Rectángulos + Líneas</w:t>
      </w:r>
    </w:p>
    <w:p>
      <w:pPr>
        <w:framePr w:w="5308" w:h="14070" w:x="6058" w:y="6360" w:hAnchor="page" w:vAnchor="page" w:wrap="around"/>
      </w:pPr>
      <w:r>
        <w:drawing>
          <wp:inline distT="0" distB="0" distL="0" distR="0">
            <wp:extent cx="3371850" cy="893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2043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Combinado + Circular + Anillo</w:t>
      </w:r>
    </w:p>
    <w:p>
      <w:pPr>
        <w:sectPr>
          <w:headerReference w:type="default" r:id="rId15"/>
          <w:footerReference w:type="default" r:id="rId16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2"/>
        <w:framePr w:w="10826" w:h="45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40AF"/>
          <w:sz w:val="27"/>
          <w:szCs w:val="27"/>
        </w:rPr>
        <w:t xml:space="preserve">2.4 Dashboards adicionales</w:t>
      </w:r>
    </w:p>
    <w:p>
      <w:pPr>
        <w:framePr w:w="5308" w:h="7230" w:x="540" w:y="162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885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Cajas y bigotes</w:t>
      </w:r>
    </w:p>
    <w:p>
      <w:pPr>
        <w:framePr w:w="5308" w:h="7230" w:x="6058" w:y="162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6058" w:y="885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Columnas + Áreas</w:t>
      </w:r>
    </w:p>
    <w:p>
      <w:pPr>
        <w:framePr w:w="5308" w:h="7230" w:x="540" w:y="6360" w:hAnchor="page" w:vAnchor="page" w:wrap="around"/>
      </w:pPr>
      <w:r>
        <w:drawing>
          <wp:inline distT="0" distB="0" distL="0" distR="0">
            <wp:extent cx="3371850" cy="4591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08" w:h="270" w:x="540" w:y="1359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Líneas + Radial</w:t>
      </w:r>
    </w:p>
    <w:p>
      <w:pPr>
        <w:sectPr>
          <w:headerReference w:type="default" r:id="rId17"/>
          <w:footerReference w:type="default" r:id="rId18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1"/>
        <w:framePr w:w="22731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2.X Dashboard Panorámico (página A3 horizontal)</w:t>
      </w:r>
    </w:p>
    <w:p>
      <w:pPr>
        <w:framePr w:w="11261" w:h="20910" w:x="540" w:y="1830" w:hAnchor="page" w:vAnchor="page" w:wrap="around"/>
      </w:pPr>
      <w:r>
        <w:drawing>
          <wp:inline distT="0" distB="0" distL="0" distR="0">
            <wp:extent cx="7153275" cy="1327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132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11261" w:h="270" w:x="540" w:y="2274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Combustible de flota — 6 modelos combinados</w:t>
      </w:r>
    </w:p>
    <w:p>
      <w:pPr>
        <w:framePr w:w="11261" w:h="14070" w:x="12011" w:y="1830" w:hAnchor="page" w:vAnchor="page" w:wrap="around"/>
      </w:pPr>
      <w:r>
        <w:drawing>
          <wp:inline distT="0" distB="0" distL="0" distR="0">
            <wp:extent cx="7153275" cy="893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3275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11261" w:h="270" w:x="12011" w:y="1590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Corriente eléctrica — 4 modelos combinados</w:t>
      </w:r>
    </w:p>
    <w:p>
      <w:pPr>
        <w:sectPr>
          <w:headerReference w:type="default" r:id="rId19"/>
          <w:footerReference w:type="default" r:id="rId20"/>
          <w:type w:val="nextPage"/>
          <w:pgSz w:w="16838" w:h="23811" w:orient="landscape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1"/>
        <w:framePr w:w="10826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3. Hallazgos y Análisis Operativo</w:t>
      </w:r>
    </w:p>
    <w:p>
      <w:pPr>
        <w:framePr w:w="2550" w:h="1650" w:x="540" w:y="1770" w:hAnchor="page" w:vAnchor="page" w:wrap="around"/>
        <w:jc w:val="center"/>
      </w:pPr>
      <w:r>
        <w:rPr>
          <w:b/>
          <w:bCs/>
          <w:color w:val="0891B2"/>
          <w:sz w:val="39"/>
          <w:szCs w:val="39"/>
        </w:rPr>
        <w:t xml:space="preserve">97.8 %</w:t>
      </w:r>
      <w:r>
        <w:br/>
        <w:br/>
        <w:t xml:space="preserve"/>
      </w:r>
      <w:r>
        <w:rPr>
          <w:color w:val="475569"/>
          <w:sz w:val="17"/>
          <w:szCs w:val="17"/>
        </w:rPr>
        <w:t xml:space="preserve">Disponibilidad del Sistema</w:t>
      </w:r>
    </w:p>
    <w:p>
      <w:pPr>
        <w:framePr w:w="2550" w:h="1650" w:x="3270" w:y="1770" w:hAnchor="page" w:vAnchor="page" w:wrap="around"/>
        <w:jc w:val="center"/>
      </w:pPr>
      <w:r>
        <w:rPr>
          <w:b/>
          <w:bCs/>
          <w:color w:val="0891B2"/>
          <w:sz w:val="39"/>
          <w:szCs w:val="39"/>
        </w:rPr>
        <w:t xml:space="preserve">184320 t</w:t>
      </w:r>
      <w:r>
        <w:br/>
        <w:br/>
        <w:t xml:space="preserve"/>
      </w:r>
      <w:r>
        <w:rPr>
          <w:color w:val="475569"/>
          <w:sz w:val="17"/>
          <w:szCs w:val="17"/>
        </w:rPr>
        <w:t xml:space="preserve">Tonelaje Movido</w:t>
      </w:r>
    </w:p>
    <w:p>
      <w:pPr>
        <w:framePr w:w="2550" w:h="1650" w:x="6000" w:y="1770" w:hAnchor="page" w:vAnchor="page" w:wrap="around"/>
        <w:jc w:val="center"/>
      </w:pPr>
      <w:r>
        <w:rPr>
          <w:b/>
          <w:bCs/>
          <w:color w:val="0891B2"/>
          <w:sz w:val="39"/>
          <w:szCs w:val="39"/>
        </w:rPr>
        <w:t xml:space="preserve">3</w:t>
      </w:r>
      <w:r>
        <w:br/>
        <w:br/>
        <w:t xml:space="preserve"/>
      </w:r>
      <w:r>
        <w:rPr>
          <w:color w:val="475569"/>
          <w:sz w:val="17"/>
          <w:szCs w:val="17"/>
        </w:rPr>
        <w:t xml:space="preserve">Alertas Activas</w:t>
      </w:r>
    </w:p>
    <w:p>
      <w:pPr>
        <w:framePr w:w="2550" w:h="1650" w:x="8730" w:y="1770" w:hAnchor="page" w:vAnchor="page" w:wrap="around"/>
        <w:jc w:val="center"/>
      </w:pPr>
      <w:r>
        <w:rPr>
          <w:b/>
          <w:bCs/>
          <w:color w:val="0891B2"/>
          <w:sz w:val="39"/>
          <w:szCs w:val="39"/>
        </w:rPr>
        <w:t xml:space="preserve">0.5 %</w:t>
      </w:r>
      <w:r>
        <w:br/>
        <w:br/>
        <w:t xml:space="preserve"/>
      </w:r>
      <w:r>
        <w:rPr>
          <w:color w:val="475569"/>
          <w:sz w:val="17"/>
          <w:szCs w:val="17"/>
        </w:rPr>
        <w:t xml:space="preserve">OEE Planta Concentradora</w:t>
      </w:r>
    </w:p>
    <w:p>
      <w:pPr>
        <w:framePr w:w="5323" w:h="3030" w:x="540" w:y="3930" w:hAnchor="page" w:vAnchor="page" w:wrap="around"/>
      </w:pPr>
      <w:r>
        <w:drawing>
          <wp:inline distT="0" distB="0" distL="0" distR="0">
            <wp:extent cx="3381375" cy="1924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23" w:h="270" w:x="540" w:y="6960" w:hAnchor="page" w:vAnchor="page" w:wrap="around"/>
        <w:jc w:val="center"/>
      </w:pPr>
      <w:r>
        <w:rPr>
          <w:i/>
          <w:iCs/>
          <w:color w:val="64748B"/>
          <w:sz w:val="14"/>
          <w:szCs w:val="14"/>
        </w:rPr>
        <w:t xml:space="preserve">Disponibilidad mensual del sistema</w:t>
      </w:r>
    </w:p>
    <w:p>
      <w:pPr>
        <w:framePr w:w="5323" w:h="3300" w:x="6043" w:y="3930" w:hAnchor="page" w:vAnchor="page" w:wrap="around"/>
      </w:pPr>
      <w:r>
        <w:drawing>
          <wp:inline distT="0" distB="0" distL="0" distR="0">
            <wp:extent cx="3381375" cy="2095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137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framePr w:w="5323" w:h="2250" w:x="540" w:y="7530" w:hAnchor="page" w:vAnchor="page" w:wrap="around"/>
        <w:jc w:val="center"/>
      </w:pPr>
      <w:r>
        <w:rPr>
          <w:i/>
          <w:iCs/>
          <w:color w:val="64748B"/>
          <w:sz w:val="15"/>
          <w:szCs w:val="15"/>
        </w:rPr>
        <w:t xml:space="preserve">[Video adjunto (45s) — grabación de pantalla — no reproducible en este formato de exportación]</w:t>
      </w:r>
    </w:p>
    <w:p>
      <w:pPr>
        <w:framePr w:w="5323" w:h="420" w:x="6043" w:y="7530" w:hAnchor="page" w:vAnchor="page" w:wrap="around"/>
      </w:pPr>
      <w:r>
        <w:rPr>
          <w:b/>
          <w:bCs/>
          <w:sz w:val="21"/>
          <w:szCs w:val="21"/>
        </w:rPr>
        <w:t xml:space="preserve">Reporte Sismográfico del Periodo</w:t>
      </w:r>
      <w:r>
        <w:rPr>
          <w:color w:val="64748B"/>
          <w:sz w:val="17"/>
          <w:szCs w:val="17"/>
        </w:rPr>
        <w:t xml:space="preserve">  (2026-08-01 — 2026-08-29)</w:t>
      </w:r>
    </w:p>
    <w:tbl>
      <w:tblPr>
        <w:tblpPr w:tblpX="6043" w:tblpY="8040" w:horzAnchor="page" w:vertAnchor="page">
          <w:tblOverlap w:val="never"/>
        </w:tblpPr>
        <w:tblW w:type="dxa" w:w="53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490"/>
            <w:shd w:fill="1736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Fecha</w:t>
            </w:r>
          </w:p>
        </w:tc>
        <w:tc>
          <w:tcPr>
            <w:tcW w:type="dxa" w:w="852"/>
            <w:shd w:fill="1736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Mag.</w:t>
            </w:r>
          </w:p>
        </w:tc>
        <w:tc>
          <w:tcPr>
            <w:tcW w:type="dxa" w:w="1065"/>
            <w:shd w:fill="1736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Prof.(km)</w:t>
            </w:r>
          </w:p>
        </w:tc>
        <w:tc>
          <w:tcPr>
            <w:tcW w:type="dxa" w:w="1916"/>
            <w:shd w:fill="1736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Referencia</w:t>
            </w:r>
          </w:p>
        </w:tc>
      </w:tr>
      <w:tr>
        <w:tc>
          <w:tcPr>
            <w:tcW w:type="dxa" w:w="14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2026-08-21</w:t>
            </w:r>
          </w:p>
        </w:tc>
        <w:tc>
          <w:tcPr>
            <w:tcW w:type="dxa" w:w="8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3.6</w:t>
            </w:r>
          </w:p>
        </w:tc>
        <w:tc>
          <w:tcPr>
            <w:tcW w:type="dxa" w:w="10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45</w:t>
            </w:r>
          </w:p>
        </w:tc>
        <w:tc>
          <w:tcPr>
            <w:tcW w:type="dxa" w:w="19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8km NE de Caravelí</w:t>
            </w:r>
          </w:p>
        </w:tc>
      </w:tr>
      <w:tr>
        <w:tc>
          <w:tcPr>
            <w:tcW w:type="dxa" w:w="149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2026-08-15</w:t>
            </w:r>
          </w:p>
        </w:tc>
        <w:tc>
          <w:tcPr>
            <w:tcW w:type="dxa" w:w="852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4.2</w:t>
            </w:r>
          </w:p>
        </w:tc>
        <w:tc>
          <w:tcPr>
            <w:tcW w:type="dxa" w:w="1065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60</w:t>
            </w:r>
          </w:p>
        </w:tc>
        <w:tc>
          <w:tcPr>
            <w:tcW w:type="dxa" w:w="191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5"/>
                <w:szCs w:val="15"/>
              </w:rPr>
              <w:t xml:space="preserve">12km SO de Arequipa</w:t>
            </w:r>
          </w:p>
        </w:tc>
      </w:tr>
      <w:tr>
        <w:tc>
          <w:tcPr>
            <w:tcW w:type="dxa" w:w="5323"/>
            <w:gridSpan w:val="4"/>
            <w:tcMar>
              <w:top w:type="dxa" w:w="80"/>
              <w:left w:type="dxa" w:w="80"/>
              <w:bottom w:type="dxa" w:w="60"/>
              <w:right w:type="dxa" w:w="80"/>
            </w:tcMar>
          </w:tcPr>
          <w:p>
            <w:r>
              <w:rPr>
                <w:i/>
                <w:iCs/>
                <w:color w:val="334155"/>
                <w:sz w:val="15"/>
                <w:szCs w:val="15"/>
              </w:rPr>
              <w:t xml:space="preserve">Microsismicidad — sensores propios: 17 eventos detectados en el rango.</w:t>
            </w:r>
          </w:p>
        </w:tc>
      </w:tr>
    </w:tbl>
    <w:p>
      <w:pPr>
        <w:sectPr>
          <w:headerReference w:type="default" r:id="rId21"/>
          <w:footerReference w:type="default" r:id="rId22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1"/>
        <w:framePr w:w="10826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4. Conclusiones</w:t>
      </w:r>
    </w:p>
    <w:p>
      <w:pPr>
        <w:framePr w:w="10826" w:h="4500" w:x="540" w:y="1770" w:hAnchor="page" w:vAnchor="page" w:wrap="none"/>
        <w:jc w:val="left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1. La red de instrumentación geotécnica evaluada opera dentro de los parámetros de disponibilidad esperados (97.8%), con un número acotado de alertas activas (3) en seguimiento.</w:t>
      </w:r>
      <w:r>
        <w:rPr>
          <w:rFonts w:ascii="Arial" w:cs="Arial" w:eastAsia="Arial" w:hAnsi="Arial"/>
          <w:color w:val="1E293B"/>
          <w:sz w:val="18"/>
          <w:szCs w:val="18"/>
        </w:rPr>
        <w:br/>
        <w:br/>
        <w:t xml:space="preserve">2. Los 15 dashboards multi-panel evaluados en la Sección 2 (mas los 2 paneles panorámicos A3) confirman que el motor de captura para exportación DOCX/PDF sostiene decenas de gráficos ECharts renderizando en simultáneo sin pérdida de datos ni imágenes en blanco.</w:t>
      </w:r>
      <w:r>
        <w:rPr>
          <w:rFonts w:ascii="Arial" w:cs="Arial" w:eastAsia="Arial" w:hAnsi="Arial"/>
          <w:color w:val="1E293B"/>
          <w:sz w:val="18"/>
          <w:szCs w:val="18"/>
        </w:rPr>
        <w:br/>
        <w:br/>
        <w:t xml:space="preserve">3. La microsismicidad de la red propia se mantiene dentro de rangos históricos.</w:t>
      </w:r>
    </w:p>
    <w:p>
      <w:pPr>
        <w:sectPr>
          <w:headerReference w:type="default" r:id="rId23"/>
          <w:footerReference w:type="default" r:id="rId24"/>
          <w:type w:val="nextPage"/>
          <w:pgSz w:w="11906" w:h="16838" w:orient="portrait"/>
          <w:pgMar w:top="870" w:right="0" w:bottom="720" w:left="0" w:header="225" w:footer="225" w:gutter="0"/>
          <w:pgNumType/>
          <w:docGrid w:linePitch="360"/>
        </w:sectPr>
      </w:pPr>
    </w:p>
    <w:p>
      <w:pPr>
        <w:pStyle w:val="Heading1"/>
        <w:framePr w:w="10826" w:h="600" w:x="540" w:y="1080" w:hAnchor="page" w:vAnchor="page" w:wrap="none"/>
        <w:jc w:val="left"/>
      </w:pPr>
      <w:r>
        <w:rPr>
          <w:rFonts w:ascii="Calibri" w:cs="Calibri" w:eastAsia="Calibri" w:hAnsi="Calibri"/>
          <w:b/>
          <w:bCs/>
          <w:color w:val="1E293B"/>
          <w:sz w:val="33"/>
          <w:szCs w:val="33"/>
        </w:rPr>
        <w:t xml:space="preserve">BIBLIOGRAFÍA / REFERENCIAS</w:t>
      </w:r>
    </w:p>
    <w:p>
      <w:pPr>
        <w:framePr w:w="10826" w:h="4500" w:x="540" w:y="1770" w:hAnchor="page" w:vAnchor="page" w:wrap="none"/>
        <w:jc w:val="left"/>
      </w:pPr>
      <w:r>
        <w:rPr>
          <w:rFonts w:ascii="Arial" w:cs="Arial" w:eastAsia="Arial" w:hAnsi="Arial"/>
          <w:color w:val="1E293B"/>
          <w:sz w:val="17"/>
          <w:szCs w:val="17"/>
        </w:rPr>
        <w:t xml:space="preserve">Hoek, E., Carranza-Torres, C., &amp; Corkum, B. (2002). Hoek-Brown failure criterion — 2002 edition. Proceedings of NARMS-TAC Conference, 1, 267–273.</w:t>
      </w:r>
      <w:r>
        <w:rPr>
          <w:rFonts w:ascii="Arial" w:cs="Arial" w:eastAsia="Arial" w:hAnsi="Arial"/>
          <w:color w:val="1E293B"/>
          <w:sz w:val="17"/>
          <w:szCs w:val="17"/>
        </w:rPr>
        <w:br/>
        <w:br/>
        <w:t xml:space="preserve">International Society for Rock Mechanics. (2007). The complete ISRM suggested methods for rock characterization, testing and monitoring: 1974–2006 (R. Ulusay &amp; J. A. Hudson, Eds.). ISRM Turkish National Group.</w:t>
      </w:r>
      <w:r>
        <w:rPr>
          <w:rFonts w:ascii="Arial" w:cs="Arial" w:eastAsia="Arial" w:hAnsi="Arial"/>
          <w:color w:val="1E293B"/>
          <w:sz w:val="17"/>
          <w:szCs w:val="17"/>
        </w:rPr>
        <w:br/>
        <w:br/>
        <w:t xml:space="preserve">Instituto Geofísico del Perú. (2026). Reporte sísmico integrado [Conjunto de datos]. IGP. https://ultimosismo.igp.gob.pe</w:t>
      </w:r>
      <w:r>
        <w:rPr>
          <w:rFonts w:ascii="Arial" w:cs="Arial" w:eastAsia="Arial" w:hAnsi="Arial"/>
          <w:color w:val="1E293B"/>
          <w:sz w:val="17"/>
          <w:szCs w:val="17"/>
        </w:rPr>
        <w:br/>
        <w:br/>
        <w:t xml:space="preserve">Beemetry Mining Platform. (2026). Manual técnico del motor de exportación DOCX/PDF de ReportStudioV2 (v2.0) [Documentación interna]. Beemetry.</w:t>
      </w:r>
    </w:p>
    <w:sectPr>
      <w:headerReference w:type="default" r:id="rId25"/>
      <w:footerReference w:type="default" r:id="rId26"/>
      <w:type w:val="nextPage"/>
      <w:pgSz w:w="11906" w:h="16838" w:orient="portrait"/>
      <w:pgMar w:top="870" w:right="0" w:bottom="720" w:left="0" w:header="225" w:footer="225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22731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26"/>
      </w:tabs>
    </w:pP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BEEMETRY</w:t>
    </w:r>
    <w:r>
      <w:t xml:space="preserve">	</w:t>
    </w:r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 Black" w:cs="Arial Black" w:eastAsia="Arial Black" w:hAnsi="Arial Black"/>
        <w:b/>
        <w:bCs/>
        <w:color w:val="595959"/>
        <w:sz w:val="14"/>
        <w:szCs w:val="14"/>
      </w:rPr>
      <w:t xml:space="preserve">ALPAYANA  •  UNIDAD PRINCIPAL  •  L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3ymleaszvr9ntv4ttppdg" Type="http://schemas.openxmlformats.org/officeDocument/2006/relationships/hyperlink" Target="https://ultimosismo.igp.gob.pe" TargetMode="External"/><Relationship Id="rId27" Type="http://schemas.openxmlformats.org/officeDocument/2006/relationships/image" Target="media/279797b5f6807043ea0595258a6a197059a262df.png"/><Relationship Id="rId28" Type="http://schemas.openxmlformats.org/officeDocument/2006/relationships/image" Target="media/794d3b0cf8578eeed7708dab13718d589020c8e7.png"/><Relationship Id="rId29" Type="http://schemas.openxmlformats.org/officeDocument/2006/relationships/image" Target="media/3561aa131e842b6b7cbc32abc69d212b94fee261.png"/><Relationship Id="rId30" Type="http://schemas.openxmlformats.org/officeDocument/2006/relationships/image" Target="media/66e25ce0d07c086ddbb4375f8b97a44153f8014a.png"/><Relationship Id="rId31" Type="http://schemas.openxmlformats.org/officeDocument/2006/relationships/image" Target="media/9a30e0a5503e32b51c1e6efe33ef2c4519d86e8e.png"/><Relationship Id="rId32" Type="http://schemas.openxmlformats.org/officeDocument/2006/relationships/image" Target="media/5e5cc607d1295b9b85eb8f4916df79892200d266.png"/><Relationship Id="rId33" Type="http://schemas.openxmlformats.org/officeDocument/2006/relationships/image" Target="media/0b2e0fa0c7eda37d319b3e2f7afd57e635f538c5.png"/><Relationship Id="rId34" Type="http://schemas.openxmlformats.org/officeDocument/2006/relationships/image" Target="media/943148434a10221f54e131656bce6165f25c64a8.png"/><Relationship Id="rId35" Type="http://schemas.openxmlformats.org/officeDocument/2006/relationships/image" Target="media/fc222771edf9577061edc13ec27f5949d4fee2d1.png"/><Relationship Id="rId36" Type="http://schemas.openxmlformats.org/officeDocument/2006/relationships/image" Target="media/fc7e3b71cfe70ee30bd6e55546e8e767c8002197.png"/><Relationship Id="rId37" Type="http://schemas.openxmlformats.org/officeDocument/2006/relationships/image" Target="media/0d9d4af5dee87d0f44a4f41371097b8b8b96820f.png"/><Relationship Id="rId38" Type="http://schemas.openxmlformats.org/officeDocument/2006/relationships/image" Target="media/2e8f53958de5a0536ad24f58cc6085b65814fb3f.png"/><Relationship Id="rId39" Type="http://schemas.openxmlformats.org/officeDocument/2006/relationships/image" Target="media/ebd9f5bd870ef7f9527e5228f9198a6fadf9106d.png"/><Relationship Id="rId40" Type="http://schemas.openxmlformats.org/officeDocument/2006/relationships/image" Target="media/94903825c35bb93e0cb5b56a6f29510ee17e8d9a.png"/><Relationship Id="rId41" Type="http://schemas.openxmlformats.org/officeDocument/2006/relationships/image" Target="media/79846b166538f79df23e9e236adfc14d0d71a2d2.png"/><Relationship Id="rId42" Type="http://schemas.openxmlformats.org/officeDocument/2006/relationships/image" Target="media/c573a09566229181021ccff78e97556ba833fc74.png"/><Relationship Id="rId43" Type="http://schemas.openxmlformats.org/officeDocument/2006/relationships/image" Target="media/c4708d942e29baff889ed675f6897b1df9acb9eb.png"/><Relationship Id="rId44" Type="http://schemas.openxmlformats.org/officeDocument/2006/relationships/image" Target="media/5709e864ed5e03c80f5267598b6e01a648cb8566.png"/><Relationship Id="rId45" Type="http://schemas.openxmlformats.org/officeDocument/2006/relationships/image" Target="media/f8716b403f1f59d25582dd87afe085d05f64718e.png"/><Relationship Id="rId46" Type="http://schemas.openxmlformats.org/officeDocument/2006/relationships/image" Target="media/eaa224348445efd85a156ad2d8243b9ca1d3a135.pn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Integral v2 — Máxima Complejidad de Diseño (QA Export DOCX/PDF)</dc:title>
  <dc:creator>Beemetry Mining Platform</dc:creator>
  <cp:lastModifiedBy>Un-named</cp:lastModifiedBy>
  <cp:revision>1</cp:revision>
  <dcterms:created xsi:type="dcterms:W3CDTF">2026-08-30T11:00:59.994Z</dcterms:created>
  <dcterms:modified xsi:type="dcterms:W3CDTF">2026-08-30T11:00:59.994Z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eemetry_SourceDocument_Count">
    <vt:lpwstr>1</vt:lpwstr>
  </property>
  <property fmtid="{D5CDD505-2E9C-101B-9397-08002B2CF9AE}" pid="3" name="Beemetry_SourceDocument_1">
    <vt:lpwstr>{"meta":{"title":"Informe Técnico Integral v2 — Máxima Complejidad de Diseño (QA Export DOCX/PDF)","author":"QA Verificación Export DOCX/PDF v2","version":3,"paperSize":"A4","updatedAt":"2026-08-30T11:00:19.578Z","layoutMode":"document","orientation":"portrait"},"pages":[{"elements":[{"x":0,"y":0,"id":"cover-1788087177564-1","type":"cover","props":{"date":"2026-08-30","title":"Informe Técnico Integral v2 — Máxima Complejidad de Diseño (QA Export DOCX/PDF)","bgColor":"","docCode":"ITAM-2026-ALP-002","textColor":"","coverTemplate":"technical","classification":"CONFIDENCIAL"},"width":793.700787411,"border":{"color":"#a9b8d3","style":"solid","width":1,"enabled":false},"height":1122.5196850527,"locked":true,"zIndex":0}],"page_number":1},{"elements":[{"x":36,"y":10,"id":"header-2","type":"header","props":{"showLogo":true,"tenantId":""},"width":721.700787411,"height":40,"locked":true,"zIndex":0},{"x":36,"y":1080.5196850527,"id":"footer-2","type":"footer","props":{"showPageNumber":true},"width":721.700787411,"height":30,"locked":true,"zIndex":1},{"x":36,"y":72,"id":"toc-1788087177564-2","type":"toc","props":{"title":"Tabla de Contenidos","autoGenerate":true},"width":721.700787411,"border":{"color":"#a9b8d3","style":"solid","width":1,"enabled":true},"height":988.5196850527,"locked":false,"zIndex":5}],"page_number":2},{"elements":[{"x":36,"y":10,"id":"header-3","type":"header","props":{"showLogo":true,"tenantId":""},"width":721.700787411,"height":40,"locked":true,"zIndex":0},{"x":36,"y":1080.5196850527,"id":"footer-3","type":"footer","props":{"showPageNumber":true},"width":721.700787411,"height":30,"locked":true,"zIndex":1},{"x":36,"y":72,"id":"text-h1-1788087177564-3","type":"text","props":{"bold":true,"text":"1. Verificación de Formato Enriquecido","spans":[],"italic":false,"fontSize":22,"fontColor":"#1e293b","textAlign":"left","underline":false,"fontFamily":"Calibri","lineHeight":1.3,"headingStyle":"h1","backgroundColor":"#ffffff"},"width":721.700787411,"height":40,"locked":false,"zIndex":10},{"x":36,"y":122,"id":"text-p-1788087177564-4","type":"text","props":{"bold":false,"text":"Este parrafo combina VARIOS estilos dentro del MISMO bloque de texto para verificar que buildStyledSegments/htmlCellToRuns reproduzcan cada rango exactamente: negrita, cursiva, subrayado, color y resaltado, todo en una sola oracion continua sin saltos de bloque.","spans":[{"end":35,"bold":true,"start":21},{"end":59,"color":"#1d4ed8","start":47,"italic":true},{"end":205,"start":159,"underline":true},{"end":205,"bold":true,"color":"#b91c1c","start":196,"highlightColor":"yellow"}],"italic":false,"fontSize":12,"fontColor":"#1e293b","textAlign":"left","underline":false,"fontFamily":"Arial","lineHeight":1.4,"backgroundColor":"#ffffff"},"width":721.700787411,"height":90,"locked":false,"zIndex":10},{"x":36,"y":232,"id":"text-h2-1788087177564-5","type":"text","props":{"bold":true,"text":"1.1 Encabezados anidados H1–H3","spans":[],"italic":false,"fontSize":18,"fontColor":"#1e40af","textAlign":"left","underline":false,"fontFamily":"Calibri","lineHeight":1.3,"headingStyle":"h2","backgroundColor":"#ffffff"},"width":721.700787411,"height":30,"locked":false,"zIndex":10},{"x":36,"y":272,"id":"text-h3-1788087177564-6","type":"text","props":{"bold":true,"text":"1.1.1 Subsección de prueba","spans":[],"italic":false,"fontSize":15,"fontColor":"#334155","textAlign":"left","underline":false,"fontFamily":"Calibri","lineHeight":1.3,"headingStyle":"h3","backgroundColor":"#ffffff"},"width":721.700787411,"height":26,"locked":false,"zIndex":10},{"x":36,"y":304,"id":"text-p-1788087177564-7","type":"text","props":{"bold":false,"text":"Encabezados H1/H2/H3 con estilos con nombre reales de Word (Heading1..3) -- el indice de la pagina 2 debe navegar correctamente a cada uno de estos tres niveles.","spans":[],"italic":false,"fontSize":12,"fontColor":"#1e293b","textAlign":"left","underline":false,"fontFamily":"Arial","lineHeight":1.4,"backgroundColor":"#ffffff"},"width":721.700787411,"height":60,"locked":false,"zIndex":10},{"x":36,"y":372,"id":"text-h2-1788087177564-8","type":"text","props":{"bold":true,"text":"1.2 Tabla con celdas HTML enriquecidas","spans":[],"italic":false,"fontSize":18,"fontColor":"#1e40af","textAlign":"left","underline":false,"fontFamily":"Calibri","lineHeight":1.3,"headingStyle":"h2","backgroundColor":"#ffffff"},"width":721.700787411,"height":30,"locked":false,"zIndex":10},{"x":36,"y":408,"id":"table-1788087177564-9","type":"table","props":{"rows":[["Parámetro","Estado","Referencia"],["&lt;b&gt;Resistencia a la Compresión&lt;/b&gt;","&lt;span style=\"color:#15803d;font-weight:bold\"&gt;Óptimo&lt;/span&gt;","&lt;a href=\"https://ultimosismo.igp.gob.pe\"&gt;IGP&lt;/a&gt;"],["&lt;i&gt;Buzamiento Promedio&lt;/i&gt;","&lt;span style=\"color:#b45309;font-weight:bold\"&gt;Precaución&lt;/span&gt;","Hoek &amp;amp; Brown 2002"],["RQD &lt;u&gt;Calculado&lt;/u&gt; (Redes Neuronales)","&lt;span style=\"color:#15803d;font-weight:bold\"&gt;Bueno&lt;/span&gt;","ISRM 2007"]],"title":"","fontSize":12,"headerBg":"#17365D","bandColor":"#F5F8FA","cellAlign":"left","hasHeader":true,"bandedRows":true,"headerBold":true,"borderColor":"#94a3b8","borderStyle":"solid","borderWidth":1,"cellPadding":8,"headerTextColor":"#FFFFFF","colWidths":[237,237,237]},"width":721.700787411,"border":{"color":"#a9b8d3","style":"solid","width":1,"enabled":true},"height":160,"locked":false,"zIndex":10,"wrapMode":"square"}],"page_number":3},{"elements":[{"x":36,"y":10,"id":"header-4","type":"header","props":{"showLogo":true,"tenantId":""},"width":721.700787411,"height":40,"locked":true,"zIndex":0},{"x":36,"y":1080.5196850527,"id":"footer-4","type":"footer","props":{"showPageNumber":true},"width":721.700787411,"height":30,"locked":true,"zIndex":1},{"x":36,"y":72,"id":"text-h1-1788087177564-10","type":"text","props":{"bold":true,"text":"2. Dashboards de Sensores — Prueba de Escala (multi-panel)","spans":[],"italic":false,"fontSize":22,"fontColor":"#1e293b","textAlign":"left","underline":false,"fontFamily":"Calibri","lineHeight":1.3,"headingStyle":"h1","backgroundColor":"#ffffff"},"width":721.700787411,"height":40,"locked":false,"zIndex":10},{"x":36,"y":112,"id":"smc-1788087177564-11","type":"sensor_multi_chart","props":{"to":"2026-08-29T23:59:59.000Z","from":"2026-08-01T00:00:00.000Z","title":"Líneas + Columnas + Áreas","chartType":"line","chartTypes":["line","bar","area"],"selections":[{"code":"ACEL-03","name":"ACEL-03","unit":"g","zoneId":null,"sensorId":"55c4b8f0-8f95-4e07-8060-7c04b878084f","zoneName":"","deviceKey":"ACEL-03"},{"code":"ACEL-01","name":"ACEL-01","unit":"g","zoneId":null,"sensorId":"3d8e7486-8af1-48ef-a47d-e6bb5932dc91","zoneName":"","deviceKey":"ACEL-01"}],"sensorType":"accelerograph"},"width":353.8503937055,"border":{"color":"#a9b8d3","style":"solid","width":1,"enabled":true},"height":728,"locked":false,"zIndex":10,"wrapMode":"square"},{"x":403.8503937055,"y":112,"id":"smc-1788087177564-12","type":"sensor_multi_chart","props":{"to":"2026-08-29T23:59:59.000Z","from":"2026-08-01T00:00:00.000Z","title":"Líneas + Combinado + Dispersión (XY)","chartType":"line","chartTypes":["line","combo","scatter"],"selections":[{"code":"PZ-VW-09","name":"PZ-VW-09","unit":"kPa","zoneId":null,"sensorId":"c20b7bc2-2090-4496-b45e-37703fcf8b02","zoneName":"","deviceKey":"PZ-VW-09"},{"code":"PZ-VW-10","name":"PZ-VW-10","unit":"kPa","zoneId":null,"sensorId":"f34e62ca-caa1-4456-8fba-21e80fb45787","zoneName":"","deviceKey":"PZ-VW-10"}],"sensorType":"piezometer_vw"},"width":353.8503937055,"border":{"color":"#a9b8d3","style":"solid","width":1,"enabled":true},"height":728,"locked":false,"zIndex":10,"wrapMode":"square"},{"x":36,"y":428,"id":"smc-1788087177564-13","type":"sensor_multi_chart","props":{"to":"2026-08-29T23:59:59.000Z","from":"2026-08-01T00:00:00.000Z","title":"Líneas + Escalón + Áreas + Columnas","chartType":"line","chartTypes":["line","step","area","bar"],"selections":[{"code":"INCL-07","name":"INCL-07","unit":"mm","zoneId":null,"sensorId":"60bcefb9-1639-4809-b453-6e38108da4c6","zoneName":"","deviceKey":"INCL-07"},{"code":"INCL-08","name":"INCL-08","unit":"mm","zoneId":null,"sensorId":"868760c4-4beb-41f6-a78d-544355cca9e3","zoneName":"","deviceKey":"INCL-08"}],"sensorType":"inclinometer"},"width":353.8503937055,"border":{"color":"#a9b8d3","style":"solid","width":1,"enabled":true},"height":956,"locked":false,"zIndex":10,"wrapMode":"square"},{"x":403.8503937055,"y":428,"id":"smc-1788087177564-14","type":"sensor_multi_chart","props":{"to":"2026-08-29T23:59:59.000Z","from":"2026-08-01T00:00:00.000Z","title":"Columnas + Radial + Circular","chartType":"bar","chartTypes":["bar","radar","pie"],"selections":[{"code":"EXT-05","name":"EXT-05","unit":"mm","zoneId":null,"sensorId":"bdf95aed-f604-4957-8a1c-4b293dd61e60","zoneName":"","deviceKey":"EXT-05"},{"code":"EXT-06","name":"EXT-06","unit":"mm","zoneId":null,"sensorId":"255d6aa5-3ea1-4ca2-bb6b-8e492cc36265","zoneName":"","deviceKey":"EXT-06"}],"sensorType":"extensometer"},"width":353.8503937055,"border":{"color":"#a9b8d3","style":"solid","width":1,"enabled":true},"height":728,"locked":false,"zIndex":10,"wrapMode":"square"}],"page_number":4},{"elements":[{"x":36,"y":10,"id":"header-5","type":"header","props":{"showLogo":true,"tenantId":""},"width":721.700787411,"height":40,"locked":true,"zIndex":0},{"x":36,"y":1080.5196850527,"id":"footer-5","type":"footer","props":{"showPageNumber":true},"width":721.700787411,"height":30,"locked":true,"zIndex":1},{"x":36,"y":72,"id":"text-h2-1788087177564-15","type":"text","props":{"bold":true,"text":"2.2 Dashboards adicionales","spans":[],"italic":false,"fontSize":18,"fontColor":"#1e40af","textAlign":"left","underline":false,"fontFamily":"Calibri","lineHeight":1.3,"headingStyle":"h2","backgroundColor":"#ffffff"},"width":721.700787411,"height":30,"locked":false,"zIndex":10},{"x":36,"y":108,"id":"smc-1788087177564-16","type":"sensor_multi_chart","props":{"to":"2026-08-29T23:59:59.000Z","from":"2026-08-01T00:00:00.000Z","title":"Líneas + Anillo","chartType":"line","chartTypes":["line","donut"],"selections":[{"code":"RADAR-01","name":"RADAR-01","unit":"mm/dia","zoneId":null,"sensorId":"be5891cb-3ac0-421f-943e-fca81e5598ea","zoneName":"","deviceKey":"RADAR-01"},{"code":"RADAR-02","name":"RADAR-02","unit":"mm/dia","zoneId":null,"sensorId":"3f7bb962-aa7e-42b1-bb9a-2645220d7b9a","zoneName":"","deviceKey":"RADAR-02"}],"sensorType":"radar_displacement"},"width":353.8503937055,"border":{"color":"#a9b8d3","style":"solid","width":1,"enabled":true},"height":500,"locked":false,"zIndex":10,"wrapMode":"square"},{"x":403.8503937055,"y":108,"id":"smc-1788087177564-17","type":"sensor_multi_chart","props":{"to":"2026-08-29T23:59:59.000Z","from":"2026-08-01T00:00:00.000Z","title":"Líneas + Columnas + Cajas y bigotes","chartType":"line","chartTypes":["line","bar","boxplot"],"selections":[{"code":"EM-01-TEMP","name":"EM-01-TEMP","unit":"°C","zoneId":null,"sensorId":"021a3372-31ec-45ff-a6c2-e354f0b14dd7","zoneName":"","deviceKey":"EM-01-TEMP"},{"code":"EM-02-TEMP","name":"EM-02-TEMP","unit":"°C","zoneId":null,"sensorId":"36b06a01-a4bb-4bb9-98cb-5223c77fcb3e","zoneName":"","deviceKey":"EM-02-TEMP"}],"sensorType":"temperature"},"width":353.8503937055,"border":{"color":"#a9b8d3","style":"solid","width":1,"enabled":true},"height":728,"locked":false,"zIndex":10,"wrapMode":"square"},{"x":36,"y":424,"id":"smc-1788087177564-18","type":"sensor_multi_chart","props":{"to":"2026-08-29T23:59:59.000Z","from":"2026-08-01T00:00:00.000Z","title":"Líneas + Áreas","chartType":"line","chartTypes":["line","area"],"selections":[{"code":"EM-01-HUM","name":"EM-01-HUM","unit":"%","zoneId":null,"sensorId":"58711def-4397-4385-b528-66b8fd67c545","zoneName":"","deviceKey":"EM-01-HUM"},{"code":"EM-04-HUM","name":"EM-04-HUM","unit":"%","zoneId":null,"sensorId":"de044fd3-d0a6-4013-a15e-57c7252bfda2","zoneName":"","deviceKey":"EM-04-HUM"}],"sensorType":"humidity"},"width":353.8503937055,"border":{"color":"#a9b8d3","style":"solid","width":1,"enabled":true},"height":500,"locked":false,"zIndex":10,"wrapMode":"square"},{"x":403.8503937055,"y":424,"id":"smc-1788087177564-19","type":"sensor_multi_chart","props":{"to":"2026-08-29T23:59:59.000Z","from":"2026-08-01T00:00:00.000Z","title":"Columnas + Dispersión (XY) + Cascada","chartType":"bar","chartTypes":["bar","scatter","waterfall"],"selections":[{"code":"SISM-01","name":"SISM-01","unit":"Hz","zoneId":null,"sensorId":"81e88124-5a53-4c19-8b24-e33f1b854a37","zoneName":"","deviceKey":"SISM-01"},{"code":"SISM-02","name":"SISM-02","unit":"Hz","zoneId":null,"sensorId":"60bbcec7-38ce-4d01-a1a2-8e5c617ebae7","zoneName":"","deviceKey":"SISM-02"}],"sensorType":"seismograph"},"width":353.8503937055,"border":{"color":"#a9b8d3","style":"solid","width":1,"enabled":true},"height":728,"locked":false,"zIndex":10,"wrapMode":"square"}],"page_number":5},{"elements":[{"x":36,"y":10,"id":"header-6","type":"header","props":{"showLogo":true,"tenantId":""},"width":721.700787411,"height":40,"locked":true,"zIndex":0},{"x":36,"y":1080.5196850527,"id":"footer-6","type":"footer","props":{"showPageNumber":true},"width":721.700787411,"height":30,"locked":true,"zIndex":1},{"x":36,"y":72,"id":"text-h2-1788087177564-20","type":"text","props":{"bold":true,"text":"2.3 Dashboards adicionales","spans":[],"italic":false,"fontSize":18,"fontColor":"#1e40af","textAlign":"left","underline":false,"fontFamily":"Calibri","lineHeight":1.3,"headingStyle":"h2","backgroundColor":"#ffffff"},"width":721.700787411,"height":30,"locked":false,"zIndex":10},{"x":36,"y":108,"id":"smc-1788087177564-21","type":"sensor_multi_chart","props":{"to":"2026-08-29T23:59:59.000Z","from":"2026-08-01T00:00:00.000Z","title":"Líneas + Radial + Embudo","chartType":"line","chartTypes":["line","radar","funnel"],"selections":[{"code":"CRACK-02","name":"CRACK-02","unit":"mm","zoneId":null,"sensorId":"650c9bf7-3550-490f-a585-7ef62d17a52c","zoneName":"","deviceKey":"CRACK-02"},{"code":"GRIETA-01","name":"GRIETA-01","unit":"mm","zoneId":null,"sensorId":"423b5151-1127-4278-9174-191ae9b8adfb","zoneName":"","deviceKey":"GRIETA-01"}],"sensorType":"crack_sensor"},"width":353.8503937055,"border":{"color":"#a9b8d3","style":"solid","width":1,"enabled":true},"height":728,"locked":false,"zIndex":10,"wrapMode":"square"},{"x":403.8503937055,"y":108,"id":"smc-1788087177564-22","type":"sensor_multi_chart","props":{"to":"2026-08-29T23:59:59.000Z","from":"2026-08-01T00:00:00.000Z","title":"Líneas + Escalón","chartType":"line","chartTypes":["line","step"],"selections":[{"code":"TILT-02","name":"TILT-02","unit":"deg","zoneId":null,"sensorId":"66809e1a-add7-47a2-8028-42466db14017","zoneName":"","deviceKey":"TILT-02"},{"code":"TILT-01","name":"TILT-01","unit":"deg","zoneId":null,"sensorId":"6e4a6cc4-fc62-46ca-8c8f-16a3059ad00c","zoneName":"","deviceKey":"TILT-01"}],"sensorType":"tiltmeter"},"width":353.8503937055,"border":{"color":"#a9b8d3","style":"solid","width":1,"enabled":true},"height":500,"locked":false,"zIndex":10,"wrapMode":"square"},{"x":36,"y":424,"id":"smc-1788087177564-23","type":"sensor_multi_chart","props":{"to":"2026-08-29T23:59:59.000Z","from":"2026-08-01T00:00:00.000Z","title":"Columnas + Rectángulos + Líneas","chartType":"bar","chartTypes":["bar","treemap","line"],"selections":[{"code":"CELDA-AS-01","name":"CELDA-AS-01","unit":"mm","zoneId":null,"sensorId":"aa61998d-637e-4977-81a3-ec2e2ed8360f","zoneName":"","deviceKey":"CELDA-AS-01"},{"code":"CELDA-AS-02","name":"CELDA-AS-02","unit":"mm","zoneId":null,"sensorId":"e7e7cc69-15e8-4c2c-a418-5d859cfc1d2a","zoneName":"","deviceKey":"CELDA-AS-02"}],"sensorType":"settlement_cell"},"width":353.8503937055,"border":{"color":"#a9b8d3","style":"solid","width":1,"enabled":true},"height":728,"locked":false,"zIndex":10,"wrapMode":"square"},{"x":403.8503937055,"y":424,"id":"smc-1788087177564-24","type":"sensor_multi_chart","props":{"to":"2026-08-29T23:59:59.000Z","from":"2026-08-01T00:00:00.000Z","title":"Líneas + Combinado + Circular + Anillo","chartType":"line","chartTypes":["line","combo","pie","donut"],"selections":[{"code":"GNSS-01","name":"GNSS-01","unit":"mm","zoneId":null,"sensorId":"6ae3864b-ad81-4a7f-8ced-3d2362a2bb16","zoneName":"","deviceKey":"GNSS-01"},{"code":"GNSS-02","name":"GNSS-02","unit":"mm","zoneId":null,"sensorId":"79589d91-e1b2-4040-ab45-ca458dc84a06","zoneName":"","deviceKey":"GNSS-02"}],"sensorType":"gnss_displacement"},"width":353.8503937055,"border":{"color":"#a9b8d3","style":"solid","width":1,"enabled":true},"height":956,"locked":false,"zIndex":10,"wrapMode":"square"}],"page_number":6},{"elements":[{"x":36,"y":10,"id":"header-7","type":"header","props":{"showLogo":true,"tenantId":""},"width":721.700787411,"height":40,"locked":true,"zIndex":0},{"x":36,"y":1080.5196850527,"id":"footer-7","type":"footer","props":{"showPageNumber":true},"width":721.700787411,"height":30,"locked":true,"zIndex":1},{"x":36,"y":72,"id":"text-h2-1788087177564-25","type":"text","props":{"bold":true,"text":"2.4 Dashboards adicionales","spans":[],"italic":false,"fontSize":18,"fontColor":"#1e40af","textAlign":"left","underline":false,"fontFamily":"Calibri","lineHeight":1.3,"headingStyle":"h2","backgroundColor":"#ffffff"},"width":721.700787411,"height":30,"locked":false,"zIndex":10},{"x":36,"y":108,"id":"smc-1788087177564-26","type":"sensor_multi_chart","props":{"to":"2026-08-29T23:59:59.000Z","from":"2026-08-01T00:00:00.000Z","title":"Líneas + Cajas y bigotes","chartType":"line","chartTypes":["line","boxplot"],"selections":[{"code":"PH-01","name":"PH-01","unit":"pH","zoneId":null,"sensorId":"5332bcf6-2b12-41a1-8e5e-b886598871e5","zoneName":"","deviceKey":"PH-01"},{"code":"PH-02","name":"PH-02","unit":"pH","zoneId":null,"sensorId":"69617879-c8f6-4fff-b47d-c1d38ad3272c","zoneName":"","deviceKey":"PH-02"}],"sensorType":"ph"},"width":353.8503937055,"border":{"color":"#a9b8d3","style":"solid","width":1,"enabled":true},"height":500,"locked":false,"zIndex":10,"wrapMode":"square"},{"x":403.8503937055,"y":108,"id":"smc-1788087177564-27","type":"sensor_multi_chart","props":{"to":"2026-08-29T23:59:59.000Z","from":"2026-08-01T00:00:00.000Z","title":"Columnas + Áreas","chartType":"bar","chartTypes":["bar","area"],"selections":[{"code":"TURB-01","name":"TURB-01","unit":"NTU","zoneId":null,"sensorId":"d64e774f-8f15-4578-a1d7-1e32ce3e9cb2","zoneName":"","deviceKey":"TURB-01"},{"code":"TURB-02","name":"TURB-02","unit":"NTU","zoneId":null,"sensorId":"fdbb5c57-d00f-47a8-918b-6ca0afb5619f","zoneName":"","deviceKey":"TURB-02"}],"sensorType":"turbidity"},"width":353.8503937055,"border":{"color":"#a9b8d3","style":"solid","width":1,"enabled":true},"height":500,"locked":false,"zIndex":10,"wrapMode":"square"},{"x":36,"y":424,"id":"smc-1788087177564-28","type":"sensor_multi_chart","props":{"to":"2026-08-29T23:59:59.000Z","from":"2026-08-01T00:00:00.000Z","title":"Líneas + Radial","chartType":"line","chartTypes":["line","radar"],"selections":[{"code":"EM-01-VIENTO","name":"EM-01-VIENTO","unit":"m/s","zoneId":null,"sensorId":"65e05d6f-985f-4b68-939d-afdb683f05f7","zoneName":"","deviceKey":"EM-01-VIENTO"},{"code":"EM-05-VIENTO","name":"EM-05-VIENTO","unit":"m/s","zoneId":null,"sensorId":"f50e8fcb-0764-4590-b14a-585ef5de2e62","zoneName":"","deviceKey":"EM-05-VIENTO"}],"sensorType":"wind_speed"},"width":353.8503937055,"border":{"color":"#a9b8d3","style":"solid","width":1,"enabled":true},"height":500,"locked":false,"zIndex":10,"wrapMode":"square"}],"page_number":7},{"elements":[{"x":36,"y":10,"id":"header-8","type":"header","props":{"showLogo":true,"tenantId":""},"width":1515.401574822,"height":40,"locked":true,"zIndex":0},{"x":36,"y":1080.5196850527,"id":"footer-8","type":"footer","props":{"showPageNumber":true},"width":1515.401574822,"height":30,"locked":true,"zIndex":1},{"x":36,"y":72,"id":"text-h1-1788087177564-29","type":"text","props":{"bold":true,"text":"2.X Dashboard Panorámico (página A3 horizontal)","spans":[],"italic":false,"fontSize":22,"fontColor":"#1e293b","textAlign":"left","underline":false,"fontFamily":"Calibri","lineHeight":1.3,"headingStyle":"h1","backgroundColor":"#ffffff"},"width":1515.401574822,"height":40,"locked":false,"zIndex":10},{"x":36,"y":122,"id":"smc-1788087177564-30","type":"sensor_multi_chart","props":{"to":"2026-08-29T23:59:59.000Z","from":"2026-08-01T00:00:00.000Z","title":"Combustible de flota — 6 modelos combinados","chartType":"line","chartTypes":["line","bar","area","radar","pie","donut"],"selections":[{"code":"CAM-01-FUEL","name":"CAM-01-FUEL","unit":"%","zoneId":null,"sensorId":"efd0056b-20fb-411e-8dba-488e68864895","zoneName":"","deviceKey":"CAM-01-FUEL"},{"code":"CAM-02-FUEL","name":"CAM-02-FUEL","unit":"%","zoneId":null,"sensorId":"19370092-1a52-4911-bdfc-18209e737f7b","zoneName":"","deviceKey":"CAM-02-FUEL"},{"code":"CAM-03-FUEL","name":"CAM-03-FUEL","unit":"%","zoneId":null,"sensorId":"33b80c72-b67e-43eb-9598-a4ba33627b20","zoneName":"","deviceKey":"CAM-03-FUEL"}],"sensorType":"fuel_level"},"width":750.700787411,"border":{"color":"#a9b8d3","style":"solid","width":1,"enabled":true},"height":1412,"locked":false,"zIndex":10,"wrapMode":"square"},{"x":800.700787411,"y":122,"id":"smc-1788087177564-31","type":"sensor_multi_chart","props":{"to":"2026-08-29T23:59:59.000Z","from":"2026-08-01T00:00:00.000Z","title":"Corriente eléctrica — 4 modelos combinados","chartType":"line","chartTypes":["line","combo","scatter","boxplot"],"selections":[{"code":"ELEC-01-CURR","name":"ELEC-01-CURR","unit":"A","zoneId":null,"sensorId":"23747509-5efe-4087-a0b6-b42756642d70","zoneName":"","deviceKey":"ELEC-01-CURR"},{"code":"ELEC-02-CURR","name":"ELEC-02-CURR","unit":"A","zoneId":null,"sensorId":"16b98b94-14c1-45e0-9123-27ec6f2707d4","zoneName":"","deviceKey":"ELEC-02-CURR"}],"sensorType":"current"},"width":750.700787411,"border":{"color":"#a9b8d3","style":"solid","width":1,"enabled":true},"height":956,"locked":false,"zIndex":10,"wrapMode":"square"}],"paperSize":"A3","orientation":"landscape","page_number":8},{"elements":[{"x":36,"y":10,"id":"header-9","type":"header","props":{"showLogo":true,"tenantId":""},"width":721.700787411,"height":40,"locked":true,"zIndex":0},{"x":36,"y":1080.5196850527,"id":"footer-9","type":"footer","props":{"showPageNumber":true},"width":721.700787411,"height":30,"locked":true,"zIndex":1},{"x":36,"y":72,"id":"text-h1-1788087177564-32","type":"text","props":{"bold":true,"text":"3. Hallazgos y Análisis Operativo","spans":[],"italic":false,"fontSize":22,"fontColor":"#1e293b","textAlign":"left","underline":false,"fontFamily":"Calibri","lineHeight":1.3,"headingStyle":"h1","backgroundColor":"#ffffff"},"width":721.700787411,"height":40,"locked":false,"zIndex":10},{"x":36,"y":118,"id":"kpi-1788087177564-33","type":"kpi","props":{"title":"Disponibilidad del Sistema","value":"—","source":"runtime_db","kpiCode":"disponibilidad_del_sistema","snapshot":{"unit":"%","value":97.8},"trendViz":"spark_bars","connected":false},"width":170,"border":{"color":"#a9b8d3","style":"solid","width":1,"enabled":true},"height":110,"locked":false,"zIndex":10,"wrapMode":"square"},{"x":218,"y":118,"id":"kpi-1788087177564-34","type":"kpi","props":{"title":"Tonelaje Movido","value":"—","source":"runtime_db","kpiCode":"tonelaje_movido","snapshot":{"unit":"t","value":184320},"trendViz":"spark_bars","connected":false},"width":170,"border":{"color":"#a9b8d3","style":"solid","width":1,"enabled":true},"height":110,"locked":false,"zIndex":10,"wrapMode":"square"},{"x":400,"y":118,"id":"kpi-1788087177564-35","type":"kpi","props":{"title":"Alertas Activas","value":"—","source":"runtime_db","kpiCode":"alertas_activas","snapshot":{"unit":"","value":3},"trendViz":"spark_bars","connected":false},"width":170,"border":{"color":"#a9b8d3","style":"solid","width":1,"enabled":true},"height":110,"locked":false,"zIndex":10,"wrapMode":"square"},{"x":582,"y":118,"id":"kpi-1788087177564-36","type":"kpi","props":{"title":"OEE Planta Concentradora","value":"—","source":"runtime_db","kpiCode":"oee_planta_concentradora","snapshot":{"unit":"%","value":0.5},"trendViz":"spark_bars","connected":false},"width":170,"border":{"color":"#a9b8d3","style":"solid","width":1,"enabled":true},"height":110,"locked":false,"zIndex":10,"wrapMode":"square"},{"x":36,"y":262,"id":"chart-static-1788087177564-37","type":"chart","props":{"live":false,"title":"Disponibilidad mensual del sistema","series":[94.8,96.1,95.5,97,96.7,98.2],"chartKind":"line","threshold":95,"categories":["Ene","Feb","Mar","Abr","May","Jun"],"seriesLabel":"Disponibilidad (%)","thresholdLabel":"Meta ≥ 95 %"},"width":354.8503937055,"border":{"color":"#a9b8d3","style":"solid","width":1,"enabled":true},"height":220,"locked":false,"zIndex":10,"wrapMode":"square"},{"x":402.8503937055,"y":262,"id":"image-1788087177564-38","src":"","type":"image","props":{"alt":"Fotografía referencial de la unidad minera"},"width":354.8503937055,"border":{"color":"#a9b8d3","style":"solid","width":1,"enabled":true},"height":220,"locked":false,"zIndex":10,"wrapMode":"square","objectFit":"contain"},{"x":36,"y":502,"id":"video-1788087177564-39","src":"","type":"video","props":{"source":"screen","mimeType":"video/webm","durationSeconds":45},"width":354.8503937055,"border":{"color":"#a9b8d3","style":"solid","width":1,"enabled":true},"height":150,"locked":false,"zIndex":10,"wrapMode":"square"},{"x":402.8503937055,"y":502,"id":"seismic-1788087177564-40","type":"seismic-report","props":{"title":"Reporte Sismográfico del Periodo","source":"both","endDate":"2026-08-29","snapshot":{"igpEvents":[{"magnitud":4.2,"referencia":"12km SO de Arequipa","fecha_local":"2026-08-15 10:22","profundidad":60},{"magnitud":3.6,"referencia":"8km NE de Caravelí","fecha_local":"2026-08-21 03:11","profundidad":45}],"companyCount":17},"connected":false,"startDate":"2026-08-01"},"width":354.8503937055,"border":{"color":"#a9b8d3","style":"solid","width":1,"enabled":true},"height":220,"locked":false,"zIndex":10,"wrapMode":"square"}],"page_number":9},{"elements":[{"x":36,"y":10,"id":"header-10","type":"header","props":{"showLogo":true,"tenantId":""},"width":721.700787411,"height":40,"locked":true,"zIndex":0},{"x":36,"y":1080.5196850527,"id":"footer-10","type":"footer","props":{"showPageNumber":true},"width":721.700787411,"height":30,"locked":true,"zIndex":1},{"x":36,"y":72,"id":"text-h1-1788087177564-41","type":"text","props":{"bold":true,"text":"4. Conclusiones","spans":[],"italic":false,"fontSize":22,"fontColor":"#1e293b","textAlign":"left","underline":false,"fontFamily":"Calibri","lineHeight":1.3,"headingStyle":"h1","backgroundColor":"#ffffff"},"width":721.700787411,"height":40,"locked":false,"zIndex":10},{"x":36,"y":118,"id":"text-p-1788087177564-42","type":"text","props":{"bold":false,"text":"1. La red de instrumentación geotécnica evaluada opera dentro de los parámetros de disponibilidad esperados (97.8%), con un número acotado de alertas activas (3) en seguimiento.\n\n2. Los 15 dashboards multi-panel evaluados en la Sección 2 (mas los 2 paneles panorámicos A3) confirman que el motor de captura para exportación DOCX/PDF sostiene decenas de gráficos ECharts renderizando en simultáneo sin pérdida de datos ni imágenes en blanco.\n\n3. La microsismicidad de la red propia se mantiene dentro de rangos históricos.","spans":[],"italic":false,"fontSize":12,"fontColor":"#1e293b","textAlign":"left","underline":false,"fontFamily":"Arial","lineHeight":1.4,"backgroundColor":"#ffffff"},"width":721.700787411,"height":300,"locked":false,"zIndex":10}],"page_number":10},{"elements":[{"x":36,"y":10,"id":"header-11","type":"header","props":{"showLogo":true,"tenantId":""},"width":721.700787411,"height":40,"locked":true,"zIndex":0},{"x":36,"y":1080.5196850527,"id":"footer-11","type":"footer","props":{"showPageNumber":true},"width":721.700787411,"height":30,"locked":true,"zIndex":1},{"x":36,"y":72,"id":"text-h1-1788087177564-43","type":"text","props":{"bold":true,"text":"BIBLIOGRAFÍA / REFERENCIAS","spans":[],"italic":false,"fontSize":22,"fontColor":"#1e293b","textAlign":"left","underline":false,"fontFamily":"Calibri","lineHeight":1.3,"headingStyle":"h1","backgroundColor":"#ffffff"},"width":721.700787411,"height":40,"locked":false,"zIndex":10},{"x":36,"y":118,"id":"text-p-1788087177564-44","type":"text","props":{"bold":false,"text":"Hoek, E., Carranza-Torres, C., &amp; Corkum, B. (2002). Hoek-Brown failure criterion — 2002 edition. Proceedings of NARMS-TAC Conference, 1, 267–273.\n\nInternational Society for Rock Mechanics. (2007). The complete ISRM suggested methods for rock characterization, testing and monitoring: 1974–2006 (R. Ulusay &amp; J. A. Hudson, Eds.). ISRM Turkish National Group.\n\nInstituto Geofísico del Perú. (2026). Reporte sísmico integrado [Conjunto de datos]. IGP. https://ultimosismo.igp.gob.pe\n\nBeemetry Mining Platform. (2026). Manual técnico del motor de exportación DOCX/PDF de ReportStudioV2 (v2.0) [Documentación interna]. Beemetry.","spans":[],"italic":false,"fontSize":11,"fontColor":"#1e293b","textAlign":"left","underline":false,"fontFamily":"Arial","lineHeight":1.4,"backgroundColor":"#ffffff"},"width":721.700787411,"height":300,"locked":false,"zIndex":10}],"page_number":11}],"document_id":"advanced-mining-report-v2"}</vt:lpwstr>
  </property>
</Properties>
</file>