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framePr w:w="11906" w:h="16838" w:x="0" w:y="0" w:hAnchor="page" w:vAnchor="page" w:wrap="none"/>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7562850" cy="10696575"/>
                    </a:xfrm>
                    <a:prstGeom prst="rect">
                      <a:avLst/>
                    </a:prstGeom>
                  </pic:spPr>
                </pic:pic>
              </a:graphicData>
            </a:graphic>
          </wp:inline>
        </w:drawing>
      </w:r>
    </w:p>
    <w:p>
      <w:pPr>
        <w:sectPr>
          <w:type w:val="nextPage"/>
          <w:pgSz w:w="11906" w:h="16838" w:orient="portrait"/>
          <w:pgMar w:top="870" w:right="0" w:bottom="720" w:left="0" w:header="225" w:footer="225" w:gutter="0"/>
          <w:pgNumType/>
          <w:docGrid w:linePitch="360"/>
        </w:sectPr>
      </w:pPr>
    </w:p>
    <w:p>
      <w:pPr>
        <w:spacing w:after="200"/>
      </w:pPr>
      <w:r>
        <w:rPr>
          <w:b/>
          <w:bCs/>
          <w:sz w:val="27"/>
          <w:szCs w:val="27"/>
        </w:rPr>
        <w:t xml:space="preserve">Tabla de Contenidos</w:t>
      </w:r>
    </w:p>
    <w:sdt>
      <w:sdtPr>
        <w:alias w:val="Índice"/>
      </w:sdtPr>
      <w:sdtContent>
        <w:p>
          <w:r>
            <w:fldChar w:fldCharType="begin" w:dirty="true"/>
            <w:instrText xml:space="preserve">TOC \h \o "1-6"</w:instrText>
            <w:fldChar w:fldCharType="separate"/>
          </w:r>
        </w:p>
        <w:p>
          <w:r>
            <w:fldChar w:fldCharType="end"/>
          </w:r>
        </w:p>
      </w:sdtContent>
    </w:sdt>
    <w:p>
      <w:pPr>
        <w:sectPr>
          <w:headerReference w:type="default" r:id="rId7"/>
          <w:footerReference w:type="default" r:id="rId8"/>
          <w:type w:val="nextPage"/>
          <w:pgSz w:w="11906" w:h="16838" w:orient="portrait"/>
          <w:pgMar w:top="1080" w:right="540" w:bottom="930" w:left="540" w:header="300" w:footer="300" w:gutter="0"/>
          <w:pgNumType/>
          <w:docGrid w:linePitch="360"/>
        </w:sectPr>
      </w:pPr>
    </w:p>
    <w:p>
      <w:pPr>
        <w:pStyle w:val="Heading1"/>
        <w:framePr w:w="10826" w:h="600" w:x="540" w:y="1080" w:hAnchor="page" w:vAnchor="page" w:wrap="none"/>
        <w:jc w:val="left"/>
      </w:pPr>
      <w:r>
        <w:rPr>
          <w:rFonts w:ascii="Calibri" w:cs="Calibri" w:eastAsia="Calibri" w:hAnsi="Calibri"/>
          <w:b/>
          <w:bCs/>
          <w:color w:val="1E293B"/>
          <w:sz w:val="33"/>
          <w:szCs w:val="33"/>
        </w:rPr>
        <w:t xml:space="preserve">1. Jerarquía de Encabezados y Formato Enriquecido</w:t>
      </w:r>
    </w:p>
    <w:p>
      <w:pPr>
        <w:framePr w:w="10826" w:h="900" w:x="540" w:y="1770" w:hAnchor="page" w:vAnchor="page" w:wrap="none"/>
        <w:jc w:val="left"/>
      </w:pPr>
      <w:r>
        <w:rPr>
          <w:rFonts w:ascii="Arial" w:cs="Arial" w:eastAsia="Arial" w:hAnsi="Arial"/>
          <w:color w:val="1E293B"/>
          <w:sz w:val="18"/>
          <w:szCs w:val="18"/>
        </w:rPr>
        <w:t xml:space="preserve">Este parrafo combina </w:t>
      </w:r>
      <w:r>
        <w:rPr>
          <w:rFonts w:ascii="Arial" w:cs="Arial" w:eastAsia="Arial" w:hAnsi="Arial"/>
          <w:b/>
          <w:bCs/>
          <w:color w:val="1E293B"/>
          <w:sz w:val="18"/>
          <w:szCs w:val="18"/>
        </w:rPr>
        <w:t xml:space="preserve">VARIOS</w:t>
      </w:r>
      <w:r>
        <w:rPr>
          <w:rFonts w:ascii="Arial" w:cs="Arial" w:eastAsia="Arial" w:hAnsi="Arial"/>
          <w:color w:val="1E293B"/>
          <w:sz w:val="18"/>
          <w:szCs w:val="18"/>
        </w:rPr>
        <w:t xml:space="preserve"> estilos dentro del </w:t>
      </w:r>
      <w:r>
        <w:rPr>
          <w:rFonts w:ascii="Arial" w:cs="Arial" w:eastAsia="Arial" w:hAnsi="Arial"/>
          <w:i/>
          <w:iCs/>
          <w:color w:val="1D4ED8"/>
          <w:sz w:val="18"/>
          <w:szCs w:val="18"/>
        </w:rPr>
        <w:t xml:space="preserve">MISMO bloque</w:t>
      </w:r>
      <w:r>
        <w:rPr>
          <w:rFonts w:ascii="Arial" w:cs="Arial" w:eastAsia="Arial" w:hAnsi="Arial"/>
          <w:color w:val="1E293B"/>
          <w:sz w:val="18"/>
          <w:szCs w:val="18"/>
        </w:rPr>
        <w:t xml:space="preserve"> de texto: </w:t>
      </w:r>
      <w:r>
        <w:rPr>
          <w:rFonts w:ascii="Arial" w:cs="Arial" w:eastAsia="Arial" w:hAnsi="Arial"/>
          <w:color w:val="1E293B"/>
          <w:sz w:val="18"/>
          <w:szCs w:val="18"/>
          <w:u w:val="single"/>
        </w:rPr>
        <w:t xml:space="preserve">negrita, cursiva, subrayado, color y </w:t>
      </w:r>
      <w:r>
        <w:rPr>
          <w:rFonts w:ascii="Arial" w:cs="Arial" w:eastAsia="Arial" w:hAnsi="Arial"/>
          <w:b/>
          <w:bCs/>
          <w:color w:val="B91C1C"/>
          <w:sz w:val="18"/>
          <w:szCs w:val="18"/>
          <w:highlight w:val="yellow"/>
          <w:highlightCs w:val="yellow"/>
          <w:u w:val="single"/>
        </w:rPr>
        <w:t xml:space="preserve">resaltado</w:t>
      </w:r>
      <w:r>
        <w:rPr>
          <w:rFonts w:ascii="Arial" w:cs="Arial" w:eastAsia="Arial" w:hAnsi="Arial"/>
          <w:color w:val="1E293B"/>
          <w:sz w:val="18"/>
          <w:szCs w:val="18"/>
        </w:rPr>
        <w:t xml:space="preserve">, todo en una sola oracion continua.</w:t>
      </w:r>
    </w:p>
    <w:p>
      <w:pPr>
        <w:pStyle w:val="Heading2"/>
        <w:framePr w:w="10826" w:h="360" w:x="540" w:y="2820" w:hAnchor="page" w:vAnchor="page" w:wrap="none"/>
        <w:jc w:val="left"/>
      </w:pPr>
      <w:r>
        <w:rPr>
          <w:rFonts w:ascii="Calibri" w:cs="Calibri" w:eastAsia="Calibri" w:hAnsi="Calibri"/>
          <w:b/>
          <w:bCs/>
          <w:color w:val="1E40AF"/>
          <w:sz w:val="27"/>
          <w:szCs w:val="27"/>
        </w:rPr>
        <w:t xml:space="preserve">1.1 Encabezado Nivel 2</w:t>
      </w:r>
    </w:p>
    <w:p>
      <w:pPr>
        <w:pStyle w:val="Heading3"/>
        <w:framePr w:w="10826" w:h="360" w:x="540" w:y="3270" w:hAnchor="page" w:vAnchor="page" w:wrap="none"/>
        <w:jc w:val="left"/>
      </w:pPr>
      <w:r>
        <w:rPr>
          <w:rFonts w:ascii="Calibri" w:cs="Calibri" w:eastAsia="Calibri" w:hAnsi="Calibri"/>
          <w:b/>
          <w:bCs/>
          <w:color w:val="334155"/>
          <w:sz w:val="23"/>
          <w:szCs w:val="23"/>
        </w:rPr>
        <w:t xml:space="preserve">1.1.1 Encabezado Nivel 3</w:t>
      </w:r>
    </w:p>
    <w:p>
      <w:pPr>
        <w:pStyle w:val="Heading4"/>
        <w:framePr w:w="10826" w:h="360" w:x="540" w:y="3720" w:hAnchor="page" w:vAnchor="page" w:wrap="none"/>
        <w:jc w:val="left"/>
      </w:pPr>
      <w:r>
        <w:rPr>
          <w:rFonts w:ascii="Calibri" w:cs="Calibri" w:eastAsia="Calibri" w:hAnsi="Calibri"/>
          <w:b/>
          <w:bCs/>
          <w:color w:val="475569"/>
          <w:sz w:val="20"/>
          <w:szCs w:val="20"/>
        </w:rPr>
        <w:t xml:space="preserve">1.1.1.1 Encabezado Nivel 4</w:t>
      </w:r>
    </w:p>
    <w:p>
      <w:pPr>
        <w:pStyle w:val="Heading5"/>
        <w:framePr w:w="10826" w:h="360" w:x="540" w:y="4170" w:hAnchor="page" w:vAnchor="page" w:wrap="none"/>
        <w:jc w:val="left"/>
      </w:pPr>
      <w:r>
        <w:rPr>
          <w:rFonts w:ascii="Calibri" w:cs="Calibri" w:eastAsia="Calibri" w:hAnsi="Calibri"/>
          <w:b/>
          <w:bCs/>
          <w:i/>
          <w:iCs/>
          <w:color w:val="64748B"/>
          <w:sz w:val="18"/>
          <w:szCs w:val="18"/>
        </w:rPr>
        <w:t xml:space="preserve">1.1.1.1.1 Encabezado Nivel 5</w:t>
      </w:r>
    </w:p>
    <w:p>
      <w:pPr>
        <w:pStyle w:val="Heading6"/>
        <w:framePr w:w="10826" w:h="360" w:x="540" w:y="4620" w:hAnchor="page" w:vAnchor="page" w:wrap="none"/>
        <w:jc w:val="left"/>
      </w:pPr>
      <w:r>
        <w:rPr>
          <w:rFonts w:ascii="Calibri" w:cs="Calibri" w:eastAsia="Calibri" w:hAnsi="Calibri"/>
          <w:b/>
          <w:bCs/>
          <w:i/>
          <w:iCs/>
          <w:color w:val="94A3B8"/>
          <w:sz w:val="17"/>
          <w:szCs w:val="17"/>
        </w:rPr>
        <w:t xml:space="preserve">1.1.1.1.1.1 Encabezado Nivel 6</w:t>
      </w:r>
    </w:p>
    <w:p>
      <w:pPr>
        <w:framePr w:w="10826" w:h="660" w:x="540" w:y="5160" w:hAnchor="page" w:vAnchor="page" w:wrap="none"/>
        <w:jc w:val="left"/>
      </w:pPr>
      <w:r>
        <w:rPr>
          <w:rFonts w:ascii="Arial" w:cs="Arial" w:eastAsia="Arial" w:hAnsi="Arial"/>
          <w:color w:val="1E293B"/>
          <w:sz w:val="18"/>
          <w:szCs w:val="18"/>
        </w:rPr>
        <w:t xml:space="preserve">Los seis niveles de encabezado usan estilos con nombre reales de Word (Heading1..6) -- el índice de la página 2 debe listar y navegar correctamente los seis.</w:t>
      </w:r>
    </w:p>
    <w:p>
      <w:pPr>
        <w:framePr w:w="10826" w:h="900" w:x="540" w:y="6120" w:hAnchor="page" w:vAnchor="page" w:wrap="none"/>
        <w:jc w:val="left"/>
      </w:pPr>
      <w:r>
        <w:rPr>
          <w:rFonts w:ascii="Arial" w:cs="Arial" w:eastAsia="Arial" w:hAnsi="Arial"/>
          <w:i/>
          <w:iCs/>
          <w:color w:val="64748B"/>
          <w:sz w:val="18"/>
          <w:szCs w:val="18"/>
        </w:rPr>
        <w:t xml:space="preserve">“La disponibilidad del sistema se mantuvo sobre el 95% durante todo el periodo evaluado, cumpliendo la meta operativa establecida por el comité técnico.” — cita textual del informe de gerencia de operaciones, incluida aquí como bloque de estilo Cita (blockquote).</w:t>
      </w:r>
    </w:p>
    <w:p>
      <w:pPr>
        <w:framePr w:w="10826" w:h="450" w:x="540" w:y="7380" w:hAnchor="page" w:vAnchor="page" w:wrap="none"/>
        <w:jc w:val="left"/>
      </w:pPr>
      <w:r>
        <w:rPr>
          <w:rFonts w:ascii="Arial" w:cs="Arial" w:eastAsia="Arial" w:hAnsi="Arial"/>
          <w:color w:val="1E293B"/>
          <w:sz w:val="18"/>
          <w:szCs w:val="18"/>
        </w:rPr>
        <w:t xml:space="preserve">Ver el detalle completo en la sección de Conclusiones </w:t>
      </w:r>
      <w:r>
        <w:rPr>
          <w:rFonts w:ascii="Arial" w:cs="Arial" w:eastAsia="Arial" w:hAnsi="Arial"/>
          <w:color w:val="1E293B"/>
          <w:sz w:val="18"/>
          <w:szCs w:val="18"/>
        </w:rPr>
        <w:t xml:space="preserve">6</w:t>
      </w:r>
    </w:p>
    <w:p>
      <w:pPr>
        <w:pStyle w:val="Heading2"/>
        <w:framePr w:w="10826" w:h="420" w:x="540" w:y="8130" w:hAnchor="page" w:vAnchor="page" w:wrap="none"/>
        <w:jc w:val="left"/>
      </w:pPr>
      <w:r>
        <w:rPr>
          <w:rFonts w:ascii="Calibri" w:cs="Calibri" w:eastAsia="Calibri" w:hAnsi="Calibri"/>
          <w:b/>
          <w:bCs/>
          <w:color w:val="1E40AF"/>
          <w:sz w:val="27"/>
          <w:szCs w:val="27"/>
        </w:rPr>
        <w:t xml:space="preserve">1.2 Tabla con lista HTML anidada en celda</w:t>
      </w:r>
    </w:p>
    <w:tbl>
      <w:tblPr>
        <w:tblpPr w:tblpX="540" w:tblpY="8640" w:horzAnchor="page" w:vertAnchor="page">
          <w:tblOverlap w:val="never"/>
        </w:tblpPr>
        <w:tblW w:type="dxa" w:w="108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55"/>
            <w:tcBorders>
              <w:top w:val="single" w:color="94A3B8" w:sz="4"/>
              <w:left w:val="single" w:color="94A3B8" w:sz="4"/>
              <w:bottom w:val="single" w:color="94A3B8" w:sz="4"/>
              <w:right w:val="single" w:color="94A3B8" w:sz="4"/>
            </w:tcBorders>
            <w:shd w:fill="17365D" w:color="auto" w:val="clear"/>
            <w:tcMar>
              <w:top w:type="dxa" w:w="120"/>
              <w:left w:type="dxa" w:w="120"/>
              <w:bottom w:type="dxa" w:w="120"/>
              <w:right w:type="dxa" w:w="120"/>
            </w:tcMar>
          </w:tcPr>
          <w:p>
            <w:pPr>
              <w:jc w:val="left"/>
            </w:pPr>
            <w:r>
              <w:rPr>
                <w:b/>
                <w:bCs/>
                <w:color w:val="FFFFFF"/>
                <w:sz w:val="18"/>
                <w:szCs w:val="18"/>
              </w:rPr>
              <w:t xml:space="preserve">Fase</w:t>
            </w:r>
          </w:p>
        </w:tc>
        <w:tc>
          <w:tcPr>
            <w:tcW w:type="dxa" w:w="3555"/>
            <w:tcBorders>
              <w:top w:val="single" w:color="94A3B8" w:sz="4"/>
              <w:left w:val="single" w:color="94A3B8" w:sz="4"/>
              <w:bottom w:val="single" w:color="94A3B8" w:sz="4"/>
              <w:right w:val="single" w:color="94A3B8" w:sz="4"/>
            </w:tcBorders>
            <w:shd w:fill="17365D" w:color="auto" w:val="clear"/>
            <w:tcMar>
              <w:top w:type="dxa" w:w="120"/>
              <w:left w:type="dxa" w:w="120"/>
              <w:bottom w:type="dxa" w:w="120"/>
              <w:right w:type="dxa" w:w="120"/>
            </w:tcMar>
          </w:tcPr>
          <w:p>
            <w:pPr>
              <w:jc w:val="left"/>
            </w:pPr>
            <w:r>
              <w:rPr>
                <w:b/>
                <w:bCs/>
                <w:color w:val="FFFFFF"/>
                <w:sz w:val="18"/>
                <w:szCs w:val="18"/>
              </w:rPr>
              <w:t xml:space="preserve">Actividades</w:t>
            </w:r>
          </w:p>
        </w:tc>
        <w:tc>
          <w:tcPr>
            <w:tcW w:type="dxa" w:w="3555"/>
            <w:tcBorders>
              <w:top w:val="single" w:color="94A3B8" w:sz="4"/>
              <w:left w:val="single" w:color="94A3B8" w:sz="4"/>
              <w:bottom w:val="single" w:color="94A3B8" w:sz="4"/>
              <w:right w:val="single" w:color="94A3B8" w:sz="4"/>
            </w:tcBorders>
            <w:shd w:fill="17365D" w:color="auto" w:val="clear"/>
            <w:tcMar>
              <w:top w:type="dxa" w:w="120"/>
              <w:left w:type="dxa" w:w="120"/>
              <w:bottom w:type="dxa" w:w="120"/>
              <w:right w:type="dxa" w:w="120"/>
            </w:tcMar>
          </w:tcPr>
          <w:p>
            <w:pPr>
              <w:jc w:val="left"/>
            </w:pPr>
            <w:r>
              <w:rPr>
                <w:b/>
                <w:bCs/>
                <w:color w:val="FFFFFF"/>
                <w:sz w:val="18"/>
                <w:szCs w:val="18"/>
              </w:rPr>
              <w:t xml:space="preserve">Responsable</w:t>
            </w:r>
          </w:p>
        </w:tc>
      </w:tr>
      <w:tr>
        <w:trPr>
          <w:tblHeader w:val="false"/>
        </w:trPr>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Preparación</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Calibración de sensores</w:t>
            </w:r>
            <w:r>
              <w:rPr>
                <w:sz w:val="18"/>
                <w:szCs w:val="18"/>
              </w:rPr>
              <w:t xml:space="preserve">Verificación de enlaces</w:t>
            </w:r>
            <w:r>
              <w:rPr>
                <w:sz w:val="18"/>
                <w:szCs w:val="18"/>
              </w:rPr>
              <w:t xml:space="preserve">Respaldo de datos previos</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b/>
                <w:bCs/>
                <w:sz w:val="18"/>
                <w:szCs w:val="18"/>
              </w:rPr>
              <w:t xml:space="preserve">Equipo Geomecánica</w:t>
            </w:r>
          </w:p>
        </w:tc>
      </w:tr>
      <w:tr>
        <w:trPr>
          <w:tblHeader w:val="false"/>
        </w:trPr>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Ejecución</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Lectura automática cada 15 min</w:t>
            </w:r>
            <w:r>
              <w:rPr>
                <w:sz w:val="18"/>
                <w:szCs w:val="18"/>
              </w:rPr>
              <w:t xml:space="preserve">Validación cruzada IGP</w:t>
            </w:r>
            <w:r>
              <w:rPr>
                <w:sz w:val="18"/>
                <w:szCs w:val="18"/>
              </w:rPr>
              <w:t xml:space="preserve">Generación de alertas</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i/>
                <w:iCs/>
                <w:sz w:val="18"/>
                <w:szCs w:val="18"/>
              </w:rPr>
              <w:t xml:space="preserve">Equipo Instrumentación</w:t>
            </w:r>
          </w:p>
        </w:tc>
      </w:tr>
    </w:tbl>
    <w:p>
      <w:pPr>
        <w:sectPr>
          <w:headerReference w:type="default" r:id="rId9"/>
          <w:footerReference w:type="default" r:id="rId10"/>
          <w:type w:val="nextPage"/>
          <w:pgSz w:w="11906" w:h="16838" w:orient="portrait"/>
          <w:pgMar w:top="870" w:right="0" w:bottom="720" w:left="0" w:header="225" w:footer="225" w:gutter="0"/>
          <w:pgNumType/>
          <w:docGrid w:linePitch="360"/>
        </w:sectPr>
      </w:pPr>
    </w:p>
    <w:p>
      <w:pPr>
        <w:pStyle w:val="Heading1"/>
        <w:framePr w:w="10826" w:h="600" w:x="540" w:y="1080" w:hAnchor="page" w:vAnchor="page" w:wrap="none"/>
        <w:jc w:val="left"/>
      </w:pPr>
      <w:r>
        <w:rPr>
          <w:rFonts w:ascii="Calibri" w:cs="Calibri" w:eastAsia="Calibri" w:hAnsi="Calibri"/>
          <w:b/>
          <w:bCs/>
          <w:color w:val="1E293B"/>
          <w:sz w:val="33"/>
          <w:szCs w:val="33"/>
        </w:rPr>
        <w:t xml:space="preserve">2. Catálogo Individual de Tipos de Gráfico (19 modelos)</w:t>
      </w:r>
    </w:p>
    <w:p>
      <w:pPr>
        <w:framePr w:w="5308" w:h="3630" w:x="540" w:y="168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371850" cy="2305050"/>
                    </a:xfrm>
                    <a:prstGeom prst="rect">
                      <a:avLst/>
                    </a:prstGeom>
                  </pic:spPr>
                </pic:pic>
              </a:graphicData>
            </a:graphic>
          </wp:inline>
        </w:drawing>
      </w:r>
    </w:p>
    <w:p>
      <w:pPr>
        <w:framePr w:w="5308" w:h="270" w:x="540" w:y="5310" w:hAnchor="page" w:vAnchor="page" w:wrap="around"/>
        <w:jc w:val="center"/>
      </w:pPr>
      <w:r>
        <w:rPr>
          <w:i/>
          <w:iCs/>
          <w:color w:val="64748B"/>
          <w:sz w:val="14"/>
          <w:szCs w:val="14"/>
        </w:rPr>
        <w:t xml:space="preserve">Líneas</w:t>
      </w:r>
    </w:p>
    <w:p>
      <w:pPr>
        <w:framePr w:w="5308" w:h="3630" w:x="6058" w:y="168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371850" cy="2305050"/>
                    </a:xfrm>
                    <a:prstGeom prst="rect">
                      <a:avLst/>
                    </a:prstGeom>
                  </pic:spPr>
                </pic:pic>
              </a:graphicData>
            </a:graphic>
          </wp:inline>
        </w:drawing>
      </w:r>
    </w:p>
    <w:p>
      <w:pPr>
        <w:framePr w:w="5308" w:h="270" w:x="6058" w:y="5310" w:hAnchor="page" w:vAnchor="page" w:wrap="around"/>
        <w:jc w:val="center"/>
      </w:pPr>
      <w:r>
        <w:rPr>
          <w:i/>
          <w:iCs/>
          <w:color w:val="64748B"/>
          <w:sz w:val="14"/>
          <w:szCs w:val="14"/>
        </w:rPr>
        <w:t xml:space="preserve">Columnas</w:t>
      </w:r>
    </w:p>
    <w:p>
      <w:pPr>
        <w:framePr w:w="5308" w:h="3630" w:x="540" w:y="534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371850" cy="2305050"/>
                    </a:xfrm>
                    <a:prstGeom prst="rect">
                      <a:avLst/>
                    </a:prstGeom>
                  </pic:spPr>
                </pic:pic>
              </a:graphicData>
            </a:graphic>
          </wp:inline>
        </w:drawing>
      </w:r>
    </w:p>
    <w:p>
      <w:pPr>
        <w:framePr w:w="5308" w:h="270" w:x="540" w:y="8970" w:hAnchor="page" w:vAnchor="page" w:wrap="around"/>
        <w:jc w:val="center"/>
      </w:pPr>
      <w:r>
        <w:rPr>
          <w:i/>
          <w:iCs/>
          <w:color w:val="64748B"/>
          <w:sz w:val="14"/>
          <w:szCs w:val="14"/>
        </w:rPr>
        <w:t xml:space="preserve">Barras</w:t>
      </w:r>
    </w:p>
    <w:p>
      <w:pPr>
        <w:framePr w:w="5308" w:h="3630" w:x="6058" w:y="534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371850" cy="2305050"/>
                    </a:xfrm>
                    <a:prstGeom prst="rect">
                      <a:avLst/>
                    </a:prstGeom>
                  </pic:spPr>
                </pic:pic>
              </a:graphicData>
            </a:graphic>
          </wp:inline>
        </w:drawing>
      </w:r>
    </w:p>
    <w:p>
      <w:pPr>
        <w:framePr w:w="5308" w:h="270" w:x="6058" w:y="8970" w:hAnchor="page" w:vAnchor="page" w:wrap="around"/>
        <w:jc w:val="center"/>
      </w:pPr>
      <w:r>
        <w:rPr>
          <w:i/>
          <w:iCs/>
          <w:color w:val="64748B"/>
          <w:sz w:val="14"/>
          <w:szCs w:val="14"/>
        </w:rPr>
        <w:t xml:space="preserve">Combinado</w:t>
      </w:r>
    </w:p>
    <w:p>
      <w:pPr>
        <w:framePr w:w="5308" w:h="3630" w:x="540" w:y="900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371850" cy="2305050"/>
                    </a:xfrm>
                    <a:prstGeom prst="rect">
                      <a:avLst/>
                    </a:prstGeom>
                  </pic:spPr>
                </pic:pic>
              </a:graphicData>
            </a:graphic>
          </wp:inline>
        </w:drawing>
      </w:r>
    </w:p>
    <w:p>
      <w:pPr>
        <w:framePr w:w="5308" w:h="270" w:x="540" w:y="12630" w:hAnchor="page" w:vAnchor="page" w:wrap="around"/>
        <w:jc w:val="center"/>
      </w:pPr>
      <w:r>
        <w:rPr>
          <w:i/>
          <w:iCs/>
          <w:color w:val="64748B"/>
          <w:sz w:val="14"/>
          <w:szCs w:val="14"/>
        </w:rPr>
        <w:t xml:space="preserve">Áreas</w:t>
      </w:r>
    </w:p>
    <w:p>
      <w:pPr>
        <w:framePr w:w="5308" w:h="3630" w:x="6058" w:y="900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71850" cy="2305050"/>
                    </a:xfrm>
                    <a:prstGeom prst="rect">
                      <a:avLst/>
                    </a:prstGeom>
                  </pic:spPr>
                </pic:pic>
              </a:graphicData>
            </a:graphic>
          </wp:inline>
        </w:drawing>
      </w:r>
    </w:p>
    <w:p>
      <w:pPr>
        <w:framePr w:w="5308" w:h="270" w:x="6058" w:y="12630" w:hAnchor="page" w:vAnchor="page" w:wrap="around"/>
        <w:jc w:val="center"/>
      </w:pPr>
      <w:r>
        <w:rPr>
          <w:i/>
          <w:iCs/>
          <w:color w:val="64748B"/>
          <w:sz w:val="14"/>
          <w:szCs w:val="14"/>
        </w:rPr>
        <w:t xml:space="preserve">Dispersión (XY)</w:t>
      </w:r>
    </w:p>
    <w:p>
      <w:pPr>
        <w:sectPr>
          <w:headerReference w:type="default" r:id="rId11"/>
          <w:footerReference w:type="default" r:id="rId12"/>
          <w:type w:val="nextPage"/>
          <w:pgSz w:w="11906" w:h="16838" w:orient="portrait"/>
          <w:pgMar w:top="870" w:right="0" w:bottom="720" w:left="0" w:header="225" w:footer="225" w:gutter="0"/>
          <w:pgNumType/>
          <w:docGrid w:linePitch="360"/>
        </w:sectPr>
      </w:pPr>
    </w:p>
    <w:p>
      <w:pPr>
        <w:pStyle w:val="Heading2"/>
        <w:framePr w:w="10826" w:h="450" w:x="540" w:y="1080" w:hAnchor="page" w:vAnchor="page" w:wrap="none"/>
        <w:jc w:val="left"/>
      </w:pPr>
      <w:r>
        <w:rPr>
          <w:rFonts w:ascii="Calibri" w:cs="Calibri" w:eastAsia="Calibri" w:hAnsi="Calibri"/>
          <w:b/>
          <w:bCs/>
          <w:color w:val="1E40AF"/>
          <w:sz w:val="27"/>
          <w:szCs w:val="27"/>
        </w:rPr>
        <w:t xml:space="preserve">2.2 Modelos adicionales</w:t>
      </w:r>
    </w:p>
    <w:p>
      <w:pPr>
        <w:framePr w:w="5308" w:h="3630" w:x="540" w:y="162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71850" cy="2305050"/>
                    </a:xfrm>
                    <a:prstGeom prst="rect">
                      <a:avLst/>
                    </a:prstGeom>
                  </pic:spPr>
                </pic:pic>
              </a:graphicData>
            </a:graphic>
          </wp:inline>
        </w:drawing>
      </w:r>
    </w:p>
    <w:p>
      <w:pPr>
        <w:framePr w:w="5308" w:h="270" w:x="540" w:y="5250" w:hAnchor="page" w:vAnchor="page" w:wrap="around"/>
        <w:jc w:val="center"/>
      </w:pPr>
      <w:r>
        <w:rPr>
          <w:i/>
          <w:iCs/>
          <w:color w:val="64748B"/>
          <w:sz w:val="14"/>
          <w:szCs w:val="14"/>
        </w:rPr>
        <w:t xml:space="preserve">Escalón</w:t>
      </w:r>
    </w:p>
    <w:p>
      <w:pPr>
        <w:framePr w:w="5308" w:h="3630" w:x="6058" w:y="162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371850" cy="2305050"/>
                    </a:xfrm>
                    <a:prstGeom prst="rect">
                      <a:avLst/>
                    </a:prstGeom>
                  </pic:spPr>
                </pic:pic>
              </a:graphicData>
            </a:graphic>
          </wp:inline>
        </w:drawing>
      </w:r>
    </w:p>
    <w:p>
      <w:pPr>
        <w:framePr w:w="5308" w:h="270" w:x="6058" w:y="5250" w:hAnchor="page" w:vAnchor="page" w:wrap="around"/>
        <w:jc w:val="center"/>
      </w:pPr>
      <w:r>
        <w:rPr>
          <w:i/>
          <w:iCs/>
          <w:color w:val="64748B"/>
          <w:sz w:val="14"/>
          <w:szCs w:val="14"/>
        </w:rPr>
        <w:t xml:space="preserve">Radial</w:t>
      </w:r>
    </w:p>
    <w:p>
      <w:pPr>
        <w:framePr w:w="5308" w:h="3630" w:x="540" w:y="528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371850" cy="2305050"/>
                    </a:xfrm>
                    <a:prstGeom prst="rect">
                      <a:avLst/>
                    </a:prstGeom>
                  </pic:spPr>
                </pic:pic>
              </a:graphicData>
            </a:graphic>
          </wp:inline>
        </w:drawing>
      </w:r>
    </w:p>
    <w:p>
      <w:pPr>
        <w:framePr w:w="5308" w:h="270" w:x="540" w:y="8910" w:hAnchor="page" w:vAnchor="page" w:wrap="around"/>
        <w:jc w:val="center"/>
      </w:pPr>
      <w:r>
        <w:rPr>
          <w:i/>
          <w:iCs/>
          <w:color w:val="64748B"/>
          <w:sz w:val="14"/>
          <w:szCs w:val="14"/>
        </w:rPr>
        <w:t xml:space="preserve">Circular</w:t>
      </w:r>
    </w:p>
    <w:p>
      <w:pPr>
        <w:framePr w:w="5308" w:h="3630" w:x="6058" w:y="528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371850" cy="2305050"/>
                    </a:xfrm>
                    <a:prstGeom prst="rect">
                      <a:avLst/>
                    </a:prstGeom>
                  </pic:spPr>
                </pic:pic>
              </a:graphicData>
            </a:graphic>
          </wp:inline>
        </w:drawing>
      </w:r>
    </w:p>
    <w:p>
      <w:pPr>
        <w:framePr w:w="5308" w:h="270" w:x="6058" w:y="8910" w:hAnchor="page" w:vAnchor="page" w:wrap="around"/>
        <w:jc w:val="center"/>
      </w:pPr>
      <w:r>
        <w:rPr>
          <w:i/>
          <w:iCs/>
          <w:color w:val="64748B"/>
          <w:sz w:val="14"/>
          <w:szCs w:val="14"/>
        </w:rPr>
        <w:t xml:space="preserve">Anillo</w:t>
      </w:r>
    </w:p>
    <w:p>
      <w:pPr>
        <w:framePr w:w="5308" w:h="3630" w:x="540" w:y="894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371850" cy="2305050"/>
                    </a:xfrm>
                    <a:prstGeom prst="rect">
                      <a:avLst/>
                    </a:prstGeom>
                  </pic:spPr>
                </pic:pic>
              </a:graphicData>
            </a:graphic>
          </wp:inline>
        </w:drawing>
      </w:r>
    </w:p>
    <w:p>
      <w:pPr>
        <w:framePr w:w="5308" w:h="270" w:x="540" w:y="12570" w:hAnchor="page" w:vAnchor="page" w:wrap="around"/>
        <w:jc w:val="center"/>
      </w:pPr>
      <w:r>
        <w:rPr>
          <w:i/>
          <w:iCs/>
          <w:color w:val="64748B"/>
          <w:sz w:val="14"/>
          <w:szCs w:val="14"/>
        </w:rPr>
        <w:t xml:space="preserve">Mapa de calor</w:t>
      </w:r>
    </w:p>
    <w:p>
      <w:pPr>
        <w:framePr w:w="5308" w:h="3630" w:x="6058" w:y="894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371850" cy="2305050"/>
                    </a:xfrm>
                    <a:prstGeom prst="rect">
                      <a:avLst/>
                    </a:prstGeom>
                  </pic:spPr>
                </pic:pic>
              </a:graphicData>
            </a:graphic>
          </wp:inline>
        </w:drawing>
      </w:r>
    </w:p>
    <w:p>
      <w:pPr>
        <w:framePr w:w="5308" w:h="270" w:x="6058" w:y="12570" w:hAnchor="page" w:vAnchor="page" w:wrap="around"/>
        <w:jc w:val="center"/>
      </w:pPr>
      <w:r>
        <w:rPr>
          <w:i/>
          <w:iCs/>
          <w:color w:val="64748B"/>
          <w:sz w:val="14"/>
          <w:szCs w:val="14"/>
        </w:rPr>
        <w:t xml:space="preserve">Cajas y bigotes</w:t>
      </w:r>
    </w:p>
    <w:p>
      <w:pPr>
        <w:sectPr>
          <w:headerReference w:type="default" r:id="rId13"/>
          <w:footerReference w:type="default" r:id="rId14"/>
          <w:type w:val="nextPage"/>
          <w:pgSz w:w="11906" w:h="16838" w:orient="portrait"/>
          <w:pgMar w:top="870" w:right="0" w:bottom="720" w:left="0" w:header="225" w:footer="225" w:gutter="0"/>
          <w:pgNumType/>
          <w:docGrid w:linePitch="360"/>
        </w:sectPr>
      </w:pPr>
    </w:p>
    <w:p>
      <w:pPr>
        <w:pStyle w:val="Heading2"/>
        <w:framePr w:w="10826" w:h="450" w:x="540" w:y="1080" w:hAnchor="page" w:vAnchor="page" w:wrap="none"/>
        <w:jc w:val="left"/>
      </w:pPr>
      <w:r>
        <w:rPr>
          <w:rFonts w:ascii="Calibri" w:cs="Calibri" w:eastAsia="Calibri" w:hAnsi="Calibri"/>
          <w:b/>
          <w:bCs/>
          <w:color w:val="1E40AF"/>
          <w:sz w:val="27"/>
          <w:szCs w:val="27"/>
        </w:rPr>
        <w:t xml:space="preserve">2.3 Modelos adicionales</w:t>
      </w:r>
    </w:p>
    <w:p>
      <w:pPr>
        <w:framePr w:w="5308" w:h="3630" w:x="540" w:y="162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71850" cy="2305050"/>
                    </a:xfrm>
                    <a:prstGeom prst="rect">
                      <a:avLst/>
                    </a:prstGeom>
                  </pic:spPr>
                </pic:pic>
              </a:graphicData>
            </a:graphic>
          </wp:inline>
        </w:drawing>
      </w:r>
    </w:p>
    <w:p>
      <w:pPr>
        <w:framePr w:w="5308" w:h="270" w:x="540" w:y="5250" w:hAnchor="page" w:vAnchor="page" w:wrap="around"/>
        <w:jc w:val="center"/>
      </w:pPr>
      <w:r>
        <w:rPr>
          <w:i/>
          <w:iCs/>
          <w:color w:val="64748B"/>
          <w:sz w:val="14"/>
          <w:szCs w:val="14"/>
        </w:rPr>
        <w:t xml:space="preserve">Cotizaciones</w:t>
      </w:r>
    </w:p>
    <w:p>
      <w:pPr>
        <w:framePr w:w="5308" w:h="3630" w:x="6058" w:y="162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371850" cy="2305050"/>
                    </a:xfrm>
                    <a:prstGeom prst="rect">
                      <a:avLst/>
                    </a:prstGeom>
                  </pic:spPr>
                </pic:pic>
              </a:graphicData>
            </a:graphic>
          </wp:inline>
        </w:drawing>
      </w:r>
    </w:p>
    <w:p>
      <w:pPr>
        <w:framePr w:w="5308" w:h="270" w:x="6058" w:y="5250" w:hAnchor="page" w:vAnchor="page" w:wrap="around"/>
        <w:jc w:val="center"/>
      </w:pPr>
      <w:r>
        <w:rPr>
          <w:i/>
          <w:iCs/>
          <w:color w:val="64748B"/>
          <w:sz w:val="14"/>
          <w:szCs w:val="14"/>
        </w:rPr>
        <w:t xml:space="preserve">Rectángulos</w:t>
      </w:r>
    </w:p>
    <w:p>
      <w:pPr>
        <w:framePr w:w="5308" w:h="3630" w:x="540" w:y="528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371850" cy="2305050"/>
                    </a:xfrm>
                    <a:prstGeom prst="rect">
                      <a:avLst/>
                    </a:prstGeom>
                  </pic:spPr>
                </pic:pic>
              </a:graphicData>
            </a:graphic>
          </wp:inline>
        </w:drawing>
      </w:r>
    </w:p>
    <w:p>
      <w:pPr>
        <w:framePr w:w="5308" w:h="270" w:x="540" w:y="8910" w:hAnchor="page" w:vAnchor="page" w:wrap="around"/>
        <w:jc w:val="center"/>
      </w:pPr>
      <w:r>
        <w:rPr>
          <w:i/>
          <w:iCs/>
          <w:color w:val="64748B"/>
          <w:sz w:val="14"/>
          <w:szCs w:val="14"/>
        </w:rPr>
        <w:t xml:space="preserve">Proyección solar</w:t>
      </w:r>
    </w:p>
    <w:p>
      <w:pPr>
        <w:framePr w:w="5308" w:h="3630" w:x="6058" w:y="528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371850" cy="2305050"/>
                    </a:xfrm>
                    <a:prstGeom prst="rect">
                      <a:avLst/>
                    </a:prstGeom>
                  </pic:spPr>
                </pic:pic>
              </a:graphicData>
            </a:graphic>
          </wp:inline>
        </w:drawing>
      </w:r>
    </w:p>
    <w:p>
      <w:pPr>
        <w:framePr w:w="5308" w:h="270" w:x="6058" w:y="8910" w:hAnchor="page" w:vAnchor="page" w:wrap="around"/>
        <w:jc w:val="center"/>
      </w:pPr>
      <w:r>
        <w:rPr>
          <w:i/>
          <w:iCs/>
          <w:color w:val="64748B"/>
          <w:sz w:val="14"/>
          <w:szCs w:val="14"/>
        </w:rPr>
        <w:t xml:space="preserve">Histograma</w:t>
      </w:r>
    </w:p>
    <w:p>
      <w:pPr>
        <w:framePr w:w="5308" w:h="3630" w:x="540" w:y="894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371850" cy="2305050"/>
                    </a:xfrm>
                    <a:prstGeom prst="rect">
                      <a:avLst/>
                    </a:prstGeom>
                  </pic:spPr>
                </pic:pic>
              </a:graphicData>
            </a:graphic>
          </wp:inline>
        </w:drawing>
      </w:r>
    </w:p>
    <w:p>
      <w:pPr>
        <w:framePr w:w="5308" w:h="270" w:x="540" w:y="12570" w:hAnchor="page" w:vAnchor="page" w:wrap="around"/>
        <w:jc w:val="center"/>
      </w:pPr>
      <w:r>
        <w:rPr>
          <w:i/>
          <w:iCs/>
          <w:color w:val="64748B"/>
          <w:sz w:val="14"/>
          <w:szCs w:val="14"/>
        </w:rPr>
        <w:t xml:space="preserve">Cascada</w:t>
      </w:r>
    </w:p>
    <w:p>
      <w:pPr>
        <w:framePr w:w="5308" w:h="3630" w:x="6058" w:y="894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371850" cy="2305050"/>
                    </a:xfrm>
                    <a:prstGeom prst="rect">
                      <a:avLst/>
                    </a:prstGeom>
                  </pic:spPr>
                </pic:pic>
              </a:graphicData>
            </a:graphic>
          </wp:inline>
        </w:drawing>
      </w:r>
    </w:p>
    <w:p>
      <w:pPr>
        <w:framePr w:w="5308" w:h="270" w:x="6058" w:y="12570" w:hAnchor="page" w:vAnchor="page" w:wrap="around"/>
        <w:jc w:val="center"/>
      </w:pPr>
      <w:r>
        <w:rPr>
          <w:i/>
          <w:iCs/>
          <w:color w:val="64748B"/>
          <w:sz w:val="14"/>
          <w:szCs w:val="14"/>
        </w:rPr>
        <w:t xml:space="preserve">Embudo</w:t>
      </w:r>
    </w:p>
    <w:p>
      <w:pPr>
        <w:sectPr>
          <w:headerReference w:type="default" r:id="rId15"/>
          <w:footerReference w:type="default" r:id="rId16"/>
          <w:type w:val="nextPage"/>
          <w:pgSz w:w="11906" w:h="16838" w:orient="portrait"/>
          <w:pgMar w:top="870" w:right="0" w:bottom="720" w:left="0" w:header="225" w:footer="225" w:gutter="0"/>
          <w:pgNumType/>
          <w:docGrid w:linePitch="360"/>
        </w:sectPr>
      </w:pPr>
    </w:p>
    <w:p>
      <w:pPr>
        <w:pStyle w:val="Heading2"/>
        <w:framePr w:w="10826" w:h="450" w:x="540" w:y="1080" w:hAnchor="page" w:vAnchor="page" w:wrap="none"/>
        <w:jc w:val="left"/>
      </w:pPr>
      <w:r>
        <w:rPr>
          <w:rFonts w:ascii="Calibri" w:cs="Calibri" w:eastAsia="Calibri" w:hAnsi="Calibri"/>
          <w:b/>
          <w:bCs/>
          <w:color w:val="1E40AF"/>
          <w:sz w:val="27"/>
          <w:szCs w:val="27"/>
        </w:rPr>
        <w:t xml:space="preserve">2.4 Modelos adicionales</w:t>
      </w:r>
    </w:p>
    <w:p>
      <w:pPr>
        <w:framePr w:w="5308" w:h="3630" w:x="540" w:y="162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371850" cy="2305050"/>
                    </a:xfrm>
                    <a:prstGeom prst="rect">
                      <a:avLst/>
                    </a:prstGeom>
                  </pic:spPr>
                </pic:pic>
              </a:graphicData>
            </a:graphic>
          </wp:inline>
        </w:drawing>
      </w:r>
    </w:p>
    <w:p>
      <w:pPr>
        <w:framePr w:w="5308" w:h="270" w:x="540" w:y="5250" w:hAnchor="page" w:vAnchor="page" w:wrap="around"/>
        <w:jc w:val="center"/>
      </w:pPr>
      <w:r>
        <w:rPr>
          <w:i/>
          <w:iCs/>
          <w:color w:val="64748B"/>
          <w:sz w:val="14"/>
          <w:szCs w:val="14"/>
        </w:rPr>
        <w:t xml:space="preserve">Mapa</w:t>
      </w:r>
    </w:p>
    <w:p>
      <w:pPr>
        <w:framePr w:w="5308" w:h="3630" w:x="6058" w:y="1620" w:hAnchor="page" w:vAnchor="page" w:wrap="around"/>
      </w:pPr>
      <w:r>
        <w:drawing>
          <wp:inline distT="0" distB="0" distL="0" distR="0">
            <wp:extent cx="3371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371850" cy="2305050"/>
                    </a:xfrm>
                    <a:prstGeom prst="rect">
                      <a:avLst/>
                    </a:prstGeom>
                  </pic:spPr>
                </pic:pic>
              </a:graphicData>
            </a:graphic>
          </wp:inline>
        </w:drawing>
      </w:r>
    </w:p>
    <w:p>
      <w:pPr>
        <w:framePr w:w="5308" w:h="270" w:x="6058" w:y="5250" w:hAnchor="page" w:vAnchor="page" w:wrap="around"/>
        <w:jc w:val="center"/>
      </w:pPr>
      <w:r>
        <w:rPr>
          <w:i/>
          <w:iCs/>
          <w:color w:val="64748B"/>
          <w:sz w:val="14"/>
          <w:szCs w:val="14"/>
        </w:rPr>
        <w:t xml:space="preserve">Superficie (3D)</w:t>
      </w:r>
    </w:p>
    <w:p>
      <w:pPr>
        <w:sectPr>
          <w:headerReference w:type="default" r:id="rId17"/>
          <w:footerReference w:type="default" r:id="rId18"/>
          <w:type w:val="nextPage"/>
          <w:pgSz w:w="11906" w:h="16838" w:orient="portrait"/>
          <w:pgMar w:top="870" w:right="0" w:bottom="720" w:left="0" w:header="225" w:footer="225" w:gutter="0"/>
          <w:pgNumType/>
          <w:docGrid w:linePitch="360"/>
        </w:sectPr>
      </w:pPr>
    </w:p>
    <w:p>
      <w:pPr>
        <w:pStyle w:val="Heading1"/>
        <w:framePr w:w="10826" w:h="600" w:x="540" w:y="1080" w:hAnchor="page" w:vAnchor="page" w:wrap="none"/>
        <w:jc w:val="left"/>
      </w:pPr>
      <w:r>
        <w:rPr>
          <w:rFonts w:ascii="Calibri" w:cs="Calibri" w:eastAsia="Calibri" w:hAnsi="Calibri"/>
          <w:b/>
          <w:bCs/>
          <w:color w:val="1E293B"/>
          <w:sz w:val="33"/>
          <w:szCs w:val="33"/>
        </w:rPr>
        <w:t xml:space="preserve">3. Dashboards de Sensores — Prueba de Escala (multi-panel)</w:t>
      </w:r>
    </w:p>
    <w:p>
      <w:pPr>
        <w:framePr w:w="5308" w:h="10650" w:x="540" w:y="1680" w:hAnchor="page" w:vAnchor="page" w:wrap="around"/>
      </w:pPr>
      <w:r>
        <w:drawing>
          <wp:inline distT="0" distB="0" distL="0" distR="0">
            <wp:extent cx="337185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371850" cy="6762750"/>
                    </a:xfrm>
                    <a:prstGeom prst="rect">
                      <a:avLst/>
                    </a:prstGeom>
                  </pic:spPr>
                </pic:pic>
              </a:graphicData>
            </a:graphic>
          </wp:inline>
        </w:drawing>
      </w:r>
    </w:p>
    <w:p>
      <w:pPr>
        <w:framePr w:w="5308" w:h="270" w:x="540" w:y="12330" w:hAnchor="page" w:vAnchor="page" w:wrap="around"/>
        <w:jc w:val="center"/>
      </w:pPr>
      <w:r>
        <w:rPr>
          <w:i/>
          <w:iCs/>
          <w:color w:val="64748B"/>
          <w:sz w:val="14"/>
          <w:szCs w:val="14"/>
        </w:rPr>
        <w:t xml:space="preserve">Líneas + Columnas + Áreas</w:t>
      </w:r>
    </w:p>
    <w:p>
      <w:pPr>
        <w:framePr w:w="5308" w:h="10650" w:x="6058" w:y="1680" w:hAnchor="page" w:vAnchor="page" w:wrap="around"/>
      </w:pPr>
      <w:r>
        <w:drawing>
          <wp:inline distT="0" distB="0" distL="0" distR="0">
            <wp:extent cx="337185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371850" cy="6762750"/>
                    </a:xfrm>
                    <a:prstGeom prst="rect">
                      <a:avLst/>
                    </a:prstGeom>
                  </pic:spPr>
                </pic:pic>
              </a:graphicData>
            </a:graphic>
          </wp:inline>
        </w:drawing>
      </w:r>
    </w:p>
    <w:p>
      <w:pPr>
        <w:framePr w:w="5308" w:h="270" w:x="6058" w:y="12330" w:hAnchor="page" w:vAnchor="page" w:wrap="around"/>
        <w:jc w:val="center"/>
      </w:pPr>
      <w:r>
        <w:rPr>
          <w:i/>
          <w:iCs/>
          <w:color w:val="64748B"/>
          <w:sz w:val="14"/>
          <w:szCs w:val="14"/>
        </w:rPr>
        <w:t xml:space="preserve">Líneas + Combinado + Dispersión (XY)</w:t>
      </w:r>
    </w:p>
    <w:p>
      <w:pPr>
        <w:framePr w:w="5308" w:h="14070" w:x="540" w:y="6420" w:hAnchor="page" w:vAnchor="page" w:wrap="around"/>
      </w:pPr>
      <w:r>
        <w:drawing>
          <wp:inline distT="0" distB="0" distL="0" distR="0">
            <wp:extent cx="3371850" cy="893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371850" cy="8934450"/>
                    </a:xfrm>
                    <a:prstGeom prst="rect">
                      <a:avLst/>
                    </a:prstGeom>
                  </pic:spPr>
                </pic:pic>
              </a:graphicData>
            </a:graphic>
          </wp:inline>
        </w:drawing>
      </w:r>
    </w:p>
    <w:p>
      <w:pPr>
        <w:framePr w:w="5308" w:h="270" w:x="540" w:y="20490" w:hAnchor="page" w:vAnchor="page" w:wrap="around"/>
        <w:jc w:val="center"/>
      </w:pPr>
      <w:r>
        <w:rPr>
          <w:i/>
          <w:iCs/>
          <w:color w:val="64748B"/>
          <w:sz w:val="14"/>
          <w:szCs w:val="14"/>
        </w:rPr>
        <w:t xml:space="preserve">Líneas + Escalón + Áreas + Columnas</w:t>
      </w:r>
    </w:p>
    <w:p>
      <w:pPr>
        <w:framePr w:w="5308" w:h="10650" w:x="6058" w:y="6420" w:hAnchor="page" w:vAnchor="page" w:wrap="around"/>
      </w:pPr>
      <w:r>
        <w:drawing>
          <wp:inline distT="0" distB="0" distL="0" distR="0">
            <wp:extent cx="337185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371850" cy="6762750"/>
                    </a:xfrm>
                    <a:prstGeom prst="rect">
                      <a:avLst/>
                    </a:prstGeom>
                  </pic:spPr>
                </pic:pic>
              </a:graphicData>
            </a:graphic>
          </wp:inline>
        </w:drawing>
      </w:r>
    </w:p>
    <w:p>
      <w:pPr>
        <w:framePr w:w="5308" w:h="270" w:x="6058" w:y="17070" w:hAnchor="page" w:vAnchor="page" w:wrap="around"/>
        <w:jc w:val="center"/>
      </w:pPr>
      <w:r>
        <w:rPr>
          <w:i/>
          <w:iCs/>
          <w:color w:val="64748B"/>
          <w:sz w:val="14"/>
          <w:szCs w:val="14"/>
        </w:rPr>
        <w:t xml:space="preserve">Columnas + Radial + Circular</w:t>
      </w:r>
    </w:p>
    <w:p>
      <w:pPr>
        <w:sectPr>
          <w:headerReference w:type="default" r:id="rId19"/>
          <w:footerReference w:type="default" r:id="rId20"/>
          <w:type w:val="nextPage"/>
          <w:pgSz w:w="11906" w:h="16838" w:orient="portrait"/>
          <w:pgMar w:top="870" w:right="0" w:bottom="720" w:left="0" w:header="225" w:footer="225" w:gutter="0"/>
          <w:pgNumType/>
          <w:docGrid w:linePitch="360"/>
        </w:sectPr>
      </w:pPr>
    </w:p>
    <w:p>
      <w:pPr>
        <w:pStyle w:val="Heading2"/>
        <w:framePr w:w="10826" w:h="450" w:x="540" w:y="1080" w:hAnchor="page" w:vAnchor="page" w:wrap="none"/>
        <w:jc w:val="left"/>
      </w:pPr>
      <w:r>
        <w:rPr>
          <w:rFonts w:ascii="Calibri" w:cs="Calibri" w:eastAsia="Calibri" w:hAnsi="Calibri"/>
          <w:b/>
          <w:bCs/>
          <w:color w:val="1E40AF"/>
          <w:sz w:val="27"/>
          <w:szCs w:val="27"/>
        </w:rPr>
        <w:t xml:space="preserve">3.2 Dashboards adicionales</w:t>
      </w:r>
    </w:p>
    <w:p>
      <w:pPr>
        <w:framePr w:w="5308" w:h="7230" w:x="540" w:y="1620" w:hAnchor="page" w:vAnchor="page" w:wrap="around"/>
      </w:pPr>
      <w:r>
        <w:drawing>
          <wp:inline distT="0" distB="0" distL="0" distR="0">
            <wp:extent cx="33718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371850" cy="4591050"/>
                    </a:xfrm>
                    <a:prstGeom prst="rect">
                      <a:avLst/>
                    </a:prstGeom>
                  </pic:spPr>
                </pic:pic>
              </a:graphicData>
            </a:graphic>
          </wp:inline>
        </w:drawing>
      </w:r>
    </w:p>
    <w:p>
      <w:pPr>
        <w:framePr w:w="5308" w:h="270" w:x="540" w:y="8850" w:hAnchor="page" w:vAnchor="page" w:wrap="around"/>
        <w:jc w:val="center"/>
      </w:pPr>
      <w:r>
        <w:rPr>
          <w:i/>
          <w:iCs/>
          <w:color w:val="64748B"/>
          <w:sz w:val="14"/>
          <w:szCs w:val="14"/>
        </w:rPr>
        <w:t xml:space="preserve">Líneas + Anillo</w:t>
      </w:r>
    </w:p>
    <w:p>
      <w:pPr>
        <w:framePr w:w="5308" w:h="10650" w:x="6058" w:y="1620" w:hAnchor="page" w:vAnchor="page" w:wrap="around"/>
      </w:pPr>
      <w:r>
        <w:drawing>
          <wp:inline distT="0" distB="0" distL="0" distR="0">
            <wp:extent cx="337185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371850" cy="6762750"/>
                    </a:xfrm>
                    <a:prstGeom prst="rect">
                      <a:avLst/>
                    </a:prstGeom>
                  </pic:spPr>
                </pic:pic>
              </a:graphicData>
            </a:graphic>
          </wp:inline>
        </w:drawing>
      </w:r>
    </w:p>
    <w:p>
      <w:pPr>
        <w:framePr w:w="5308" w:h="270" w:x="6058" w:y="12270" w:hAnchor="page" w:vAnchor="page" w:wrap="around"/>
        <w:jc w:val="center"/>
      </w:pPr>
      <w:r>
        <w:rPr>
          <w:i/>
          <w:iCs/>
          <w:color w:val="64748B"/>
          <w:sz w:val="14"/>
          <w:szCs w:val="14"/>
        </w:rPr>
        <w:t xml:space="preserve">Líneas + Columnas + Cajas y bigotes</w:t>
      </w:r>
    </w:p>
    <w:p>
      <w:pPr>
        <w:framePr w:w="5308" w:h="7230" w:x="540" w:y="6360" w:hAnchor="page" w:vAnchor="page" w:wrap="around"/>
      </w:pPr>
      <w:r>
        <w:drawing>
          <wp:inline distT="0" distB="0" distL="0" distR="0">
            <wp:extent cx="33718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371850" cy="4591050"/>
                    </a:xfrm>
                    <a:prstGeom prst="rect">
                      <a:avLst/>
                    </a:prstGeom>
                  </pic:spPr>
                </pic:pic>
              </a:graphicData>
            </a:graphic>
          </wp:inline>
        </w:drawing>
      </w:r>
    </w:p>
    <w:p>
      <w:pPr>
        <w:framePr w:w="5308" w:h="270" w:x="540" w:y="13590" w:hAnchor="page" w:vAnchor="page" w:wrap="around"/>
        <w:jc w:val="center"/>
      </w:pPr>
      <w:r>
        <w:rPr>
          <w:i/>
          <w:iCs/>
          <w:color w:val="64748B"/>
          <w:sz w:val="14"/>
          <w:szCs w:val="14"/>
        </w:rPr>
        <w:t xml:space="preserve">Líneas + Áreas</w:t>
      </w:r>
    </w:p>
    <w:p>
      <w:pPr>
        <w:framePr w:w="5308" w:h="10650" w:x="6058" w:y="6360" w:hAnchor="page" w:vAnchor="page" w:wrap="around"/>
      </w:pPr>
      <w:r>
        <w:drawing>
          <wp:inline distT="0" distB="0" distL="0" distR="0">
            <wp:extent cx="337185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371850" cy="6762750"/>
                    </a:xfrm>
                    <a:prstGeom prst="rect">
                      <a:avLst/>
                    </a:prstGeom>
                  </pic:spPr>
                </pic:pic>
              </a:graphicData>
            </a:graphic>
          </wp:inline>
        </w:drawing>
      </w:r>
    </w:p>
    <w:p>
      <w:pPr>
        <w:framePr w:w="5308" w:h="270" w:x="6058" w:y="17010" w:hAnchor="page" w:vAnchor="page" w:wrap="around"/>
        <w:jc w:val="center"/>
      </w:pPr>
      <w:r>
        <w:rPr>
          <w:i/>
          <w:iCs/>
          <w:color w:val="64748B"/>
          <w:sz w:val="14"/>
          <w:szCs w:val="14"/>
        </w:rPr>
        <w:t xml:space="preserve">Columnas + Dispersión (XY) + Cascada</w:t>
      </w:r>
    </w:p>
    <w:p>
      <w:pPr>
        <w:sectPr>
          <w:headerReference w:type="default" r:id="rId21"/>
          <w:footerReference w:type="default" r:id="rId22"/>
          <w:type w:val="nextPage"/>
          <w:pgSz w:w="11906" w:h="16838" w:orient="portrait"/>
          <w:pgMar w:top="870" w:right="0" w:bottom="720" w:left="0" w:header="225" w:footer="225" w:gutter="0"/>
          <w:pgNumType/>
          <w:docGrid w:linePitch="360"/>
        </w:sectPr>
      </w:pPr>
    </w:p>
    <w:p>
      <w:pPr>
        <w:pStyle w:val="Heading2"/>
        <w:framePr w:w="10826" w:h="450" w:x="540" w:y="1080" w:hAnchor="page" w:vAnchor="page" w:wrap="none"/>
        <w:jc w:val="left"/>
      </w:pPr>
      <w:r>
        <w:rPr>
          <w:rFonts w:ascii="Calibri" w:cs="Calibri" w:eastAsia="Calibri" w:hAnsi="Calibri"/>
          <w:b/>
          <w:bCs/>
          <w:color w:val="1E40AF"/>
          <w:sz w:val="27"/>
          <w:szCs w:val="27"/>
        </w:rPr>
        <w:t xml:space="preserve">3.3 Dashboards adicionales</w:t>
      </w:r>
    </w:p>
    <w:p>
      <w:pPr>
        <w:framePr w:w="5308" w:h="10650" w:x="540" w:y="1620" w:hAnchor="page" w:vAnchor="page" w:wrap="around"/>
      </w:pPr>
      <w:r>
        <w:drawing>
          <wp:inline distT="0" distB="0" distL="0" distR="0">
            <wp:extent cx="337185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371850" cy="6762750"/>
                    </a:xfrm>
                    <a:prstGeom prst="rect">
                      <a:avLst/>
                    </a:prstGeom>
                  </pic:spPr>
                </pic:pic>
              </a:graphicData>
            </a:graphic>
          </wp:inline>
        </w:drawing>
      </w:r>
    </w:p>
    <w:p>
      <w:pPr>
        <w:framePr w:w="5308" w:h="270" w:x="540" w:y="12270" w:hAnchor="page" w:vAnchor="page" w:wrap="around"/>
        <w:jc w:val="center"/>
      </w:pPr>
      <w:r>
        <w:rPr>
          <w:i/>
          <w:iCs/>
          <w:color w:val="64748B"/>
          <w:sz w:val="14"/>
          <w:szCs w:val="14"/>
        </w:rPr>
        <w:t xml:space="preserve">Líneas + Radial + Embudo</w:t>
      </w:r>
    </w:p>
    <w:p>
      <w:pPr>
        <w:framePr w:w="5308" w:h="7230" w:x="6058" w:y="1620" w:hAnchor="page" w:vAnchor="page" w:wrap="around"/>
      </w:pPr>
      <w:r>
        <w:drawing>
          <wp:inline distT="0" distB="0" distL="0" distR="0">
            <wp:extent cx="33718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371850" cy="4591050"/>
                    </a:xfrm>
                    <a:prstGeom prst="rect">
                      <a:avLst/>
                    </a:prstGeom>
                  </pic:spPr>
                </pic:pic>
              </a:graphicData>
            </a:graphic>
          </wp:inline>
        </w:drawing>
      </w:r>
    </w:p>
    <w:p>
      <w:pPr>
        <w:framePr w:w="5308" w:h="270" w:x="6058" w:y="8850" w:hAnchor="page" w:vAnchor="page" w:wrap="around"/>
        <w:jc w:val="center"/>
      </w:pPr>
      <w:r>
        <w:rPr>
          <w:i/>
          <w:iCs/>
          <w:color w:val="64748B"/>
          <w:sz w:val="14"/>
          <w:szCs w:val="14"/>
        </w:rPr>
        <w:t xml:space="preserve">Líneas + Escalón</w:t>
      </w:r>
    </w:p>
    <w:p>
      <w:pPr>
        <w:framePr w:w="5308" w:h="10650" w:x="540" w:y="6360" w:hAnchor="page" w:vAnchor="page" w:wrap="around"/>
      </w:pPr>
      <w:r>
        <w:drawing>
          <wp:inline distT="0" distB="0" distL="0" distR="0">
            <wp:extent cx="337185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371850" cy="6762750"/>
                    </a:xfrm>
                    <a:prstGeom prst="rect">
                      <a:avLst/>
                    </a:prstGeom>
                  </pic:spPr>
                </pic:pic>
              </a:graphicData>
            </a:graphic>
          </wp:inline>
        </w:drawing>
      </w:r>
    </w:p>
    <w:p>
      <w:pPr>
        <w:framePr w:w="5308" w:h="270" w:x="540" w:y="17010" w:hAnchor="page" w:vAnchor="page" w:wrap="around"/>
        <w:jc w:val="center"/>
      </w:pPr>
      <w:r>
        <w:rPr>
          <w:i/>
          <w:iCs/>
          <w:color w:val="64748B"/>
          <w:sz w:val="14"/>
          <w:szCs w:val="14"/>
        </w:rPr>
        <w:t xml:space="preserve">Columnas + Rectángulos + Líneas</w:t>
      </w:r>
    </w:p>
    <w:p>
      <w:pPr>
        <w:framePr w:w="5308" w:h="14070" w:x="6058" w:y="6360" w:hAnchor="page" w:vAnchor="page" w:wrap="around"/>
      </w:pPr>
      <w:r>
        <w:drawing>
          <wp:inline distT="0" distB="0" distL="0" distR="0">
            <wp:extent cx="3371850" cy="893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371850" cy="8934450"/>
                    </a:xfrm>
                    <a:prstGeom prst="rect">
                      <a:avLst/>
                    </a:prstGeom>
                  </pic:spPr>
                </pic:pic>
              </a:graphicData>
            </a:graphic>
          </wp:inline>
        </w:drawing>
      </w:r>
    </w:p>
    <w:p>
      <w:pPr>
        <w:framePr w:w="5308" w:h="270" w:x="6058" w:y="20430" w:hAnchor="page" w:vAnchor="page" w:wrap="around"/>
        <w:jc w:val="center"/>
      </w:pPr>
      <w:r>
        <w:rPr>
          <w:i/>
          <w:iCs/>
          <w:color w:val="64748B"/>
          <w:sz w:val="14"/>
          <w:szCs w:val="14"/>
        </w:rPr>
        <w:t xml:space="preserve">Líneas + Combinado + Circular + Anillo</w:t>
      </w:r>
    </w:p>
    <w:p>
      <w:pPr>
        <w:sectPr>
          <w:headerReference w:type="default" r:id="rId23"/>
          <w:footerReference w:type="default" r:id="rId24"/>
          <w:type w:val="nextPage"/>
          <w:pgSz w:w="11906" w:h="16838" w:orient="portrait"/>
          <w:pgMar w:top="870" w:right="0" w:bottom="720" w:left="0" w:header="225" w:footer="225" w:gutter="0"/>
          <w:pgNumType/>
          <w:docGrid w:linePitch="360"/>
        </w:sectPr>
      </w:pPr>
    </w:p>
    <w:p>
      <w:pPr>
        <w:pStyle w:val="Heading2"/>
        <w:framePr w:w="10826" w:h="450" w:x="540" w:y="1080" w:hAnchor="page" w:vAnchor="page" w:wrap="none"/>
        <w:jc w:val="left"/>
      </w:pPr>
      <w:r>
        <w:rPr>
          <w:rFonts w:ascii="Calibri" w:cs="Calibri" w:eastAsia="Calibri" w:hAnsi="Calibri"/>
          <w:b/>
          <w:bCs/>
          <w:color w:val="1E40AF"/>
          <w:sz w:val="27"/>
          <w:szCs w:val="27"/>
        </w:rPr>
        <w:t xml:space="preserve">3.4 Dashboards adicionales</w:t>
      </w:r>
    </w:p>
    <w:p>
      <w:pPr>
        <w:framePr w:w="5308" w:h="7230" w:x="540" w:y="1620" w:hAnchor="page" w:vAnchor="page" w:wrap="around"/>
      </w:pPr>
      <w:r>
        <w:drawing>
          <wp:inline distT="0" distB="0" distL="0" distR="0">
            <wp:extent cx="33718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371850" cy="4591050"/>
                    </a:xfrm>
                    <a:prstGeom prst="rect">
                      <a:avLst/>
                    </a:prstGeom>
                  </pic:spPr>
                </pic:pic>
              </a:graphicData>
            </a:graphic>
          </wp:inline>
        </w:drawing>
      </w:r>
    </w:p>
    <w:p>
      <w:pPr>
        <w:framePr w:w="5308" w:h="270" w:x="540" w:y="8850" w:hAnchor="page" w:vAnchor="page" w:wrap="around"/>
        <w:jc w:val="center"/>
      </w:pPr>
      <w:r>
        <w:rPr>
          <w:i/>
          <w:iCs/>
          <w:color w:val="64748B"/>
          <w:sz w:val="14"/>
          <w:szCs w:val="14"/>
        </w:rPr>
        <w:t xml:space="preserve">Líneas + Cajas y bigotes</w:t>
      </w:r>
    </w:p>
    <w:p>
      <w:pPr>
        <w:framePr w:w="5308" w:h="7230" w:x="6058" w:y="1620" w:hAnchor="page" w:vAnchor="page" w:wrap="around"/>
      </w:pPr>
      <w:r>
        <w:drawing>
          <wp:inline distT="0" distB="0" distL="0" distR="0">
            <wp:extent cx="33718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371850" cy="4591050"/>
                    </a:xfrm>
                    <a:prstGeom prst="rect">
                      <a:avLst/>
                    </a:prstGeom>
                  </pic:spPr>
                </pic:pic>
              </a:graphicData>
            </a:graphic>
          </wp:inline>
        </w:drawing>
      </w:r>
    </w:p>
    <w:p>
      <w:pPr>
        <w:framePr w:w="5308" w:h="270" w:x="6058" w:y="8850" w:hAnchor="page" w:vAnchor="page" w:wrap="around"/>
        <w:jc w:val="center"/>
      </w:pPr>
      <w:r>
        <w:rPr>
          <w:i/>
          <w:iCs/>
          <w:color w:val="64748B"/>
          <w:sz w:val="14"/>
          <w:szCs w:val="14"/>
        </w:rPr>
        <w:t xml:space="preserve">Columnas + Áreas</w:t>
      </w:r>
    </w:p>
    <w:p>
      <w:pPr>
        <w:framePr w:w="5308" w:h="7230" w:x="540" w:y="6360" w:hAnchor="page" w:vAnchor="page" w:wrap="around"/>
      </w:pPr>
      <w:r>
        <w:drawing>
          <wp:inline distT="0" distB="0" distL="0" distR="0">
            <wp:extent cx="33718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371850" cy="4591050"/>
                    </a:xfrm>
                    <a:prstGeom prst="rect">
                      <a:avLst/>
                    </a:prstGeom>
                  </pic:spPr>
                </pic:pic>
              </a:graphicData>
            </a:graphic>
          </wp:inline>
        </w:drawing>
      </w:r>
    </w:p>
    <w:p>
      <w:pPr>
        <w:framePr w:w="5308" w:h="270" w:x="540" w:y="13590" w:hAnchor="page" w:vAnchor="page" w:wrap="around"/>
        <w:jc w:val="center"/>
      </w:pPr>
      <w:r>
        <w:rPr>
          <w:i/>
          <w:iCs/>
          <w:color w:val="64748B"/>
          <w:sz w:val="14"/>
          <w:szCs w:val="14"/>
        </w:rPr>
        <w:t xml:space="preserve">Líneas + Radial</w:t>
      </w:r>
    </w:p>
    <w:p>
      <w:pPr>
        <w:framePr w:w="5308" w:h="7230" w:x="6058" w:y="6360" w:hAnchor="page" w:vAnchor="page" w:wrap="around"/>
      </w:pPr>
      <w:r>
        <w:drawing>
          <wp:inline distT="0" distB="0" distL="0" distR="0">
            <wp:extent cx="33718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371850" cy="4591050"/>
                    </a:xfrm>
                    <a:prstGeom prst="rect">
                      <a:avLst/>
                    </a:prstGeom>
                  </pic:spPr>
                </pic:pic>
              </a:graphicData>
            </a:graphic>
          </wp:inline>
        </w:drawing>
      </w:r>
    </w:p>
    <w:p>
      <w:pPr>
        <w:framePr w:w="5308" w:h="270" w:x="6058" w:y="13590" w:hAnchor="page" w:vAnchor="page" w:wrap="around"/>
        <w:jc w:val="center"/>
      </w:pPr>
      <w:r>
        <w:rPr>
          <w:i/>
          <w:iCs/>
          <w:color w:val="64748B"/>
          <w:sz w:val="14"/>
          <w:szCs w:val="14"/>
        </w:rPr>
        <w:t xml:space="preserve">Líneas + Columnas</w:t>
      </w:r>
    </w:p>
    <w:p>
      <w:pPr>
        <w:sectPr>
          <w:headerReference w:type="default" r:id="rId25"/>
          <w:footerReference w:type="default" r:id="rId26"/>
          <w:type w:val="nextPage"/>
          <w:pgSz w:w="11906" w:h="16838" w:orient="portrait"/>
          <w:pgMar w:top="870" w:right="0" w:bottom="720" w:left="0" w:header="225" w:footer="225" w:gutter="0"/>
          <w:pgNumType/>
          <w:docGrid w:linePitch="360"/>
        </w:sectPr>
      </w:pPr>
    </w:p>
    <w:p>
      <w:pPr>
        <w:pStyle w:val="Heading2"/>
        <w:framePr w:w="10826" w:h="450" w:x="540" w:y="1080" w:hAnchor="page" w:vAnchor="page" w:wrap="none"/>
        <w:jc w:val="left"/>
      </w:pPr>
      <w:r>
        <w:rPr>
          <w:rFonts w:ascii="Calibri" w:cs="Calibri" w:eastAsia="Calibri" w:hAnsi="Calibri"/>
          <w:b/>
          <w:bCs/>
          <w:color w:val="1E40AF"/>
          <w:sz w:val="27"/>
          <w:szCs w:val="27"/>
        </w:rPr>
        <w:t xml:space="preserve">3.5 Dashboards adicionales</w:t>
      </w:r>
    </w:p>
    <w:p>
      <w:pPr>
        <w:framePr w:w="5308" w:h="10650" w:x="540" w:y="1620" w:hAnchor="page" w:vAnchor="page" w:wrap="around"/>
      </w:pPr>
      <w:r>
        <w:drawing>
          <wp:inline distT="0" distB="0" distL="0" distR="0">
            <wp:extent cx="337185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371850" cy="6762750"/>
                    </a:xfrm>
                    <a:prstGeom prst="rect">
                      <a:avLst/>
                    </a:prstGeom>
                  </pic:spPr>
                </pic:pic>
              </a:graphicData>
            </a:graphic>
          </wp:inline>
        </w:drawing>
      </w:r>
    </w:p>
    <w:p>
      <w:pPr>
        <w:framePr w:w="5308" w:h="270" w:x="540" w:y="12270" w:hAnchor="page" w:vAnchor="page" w:wrap="around"/>
        <w:jc w:val="center"/>
      </w:pPr>
      <w:r>
        <w:rPr>
          <w:i/>
          <w:iCs/>
          <w:color w:val="64748B"/>
          <w:sz w:val="14"/>
          <w:szCs w:val="14"/>
        </w:rPr>
        <w:t xml:space="preserve">Líneas + Columnas + Radial</w:t>
      </w:r>
    </w:p>
    <w:p>
      <w:pPr>
        <w:framePr w:w="5308" w:h="7230" w:x="6058" w:y="1620" w:hAnchor="page" w:vAnchor="page" w:wrap="around"/>
      </w:pPr>
      <w:r>
        <w:drawing>
          <wp:inline distT="0" distB="0" distL="0" distR="0">
            <wp:extent cx="33718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371850" cy="4591050"/>
                    </a:xfrm>
                    <a:prstGeom prst="rect">
                      <a:avLst/>
                    </a:prstGeom>
                  </pic:spPr>
                </pic:pic>
              </a:graphicData>
            </a:graphic>
          </wp:inline>
        </w:drawing>
      </w:r>
    </w:p>
    <w:p>
      <w:pPr>
        <w:framePr w:w="5308" w:h="270" w:x="6058" w:y="8850" w:hAnchor="page" w:vAnchor="page" w:wrap="around"/>
        <w:jc w:val="center"/>
      </w:pPr>
      <w:r>
        <w:rPr>
          <w:i/>
          <w:iCs/>
          <w:color w:val="64748B"/>
          <w:sz w:val="14"/>
          <w:szCs w:val="14"/>
        </w:rPr>
        <w:t xml:space="preserve">Líneas + Combinado</w:t>
      </w:r>
    </w:p>
    <w:p>
      <w:pPr>
        <w:framePr w:w="5308" w:h="10650" w:x="540" w:y="6360" w:hAnchor="page" w:vAnchor="page" w:wrap="around"/>
      </w:pPr>
      <w:r>
        <w:drawing>
          <wp:inline distT="0" distB="0" distL="0" distR="0">
            <wp:extent cx="337185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371850" cy="6762750"/>
                    </a:xfrm>
                    <a:prstGeom prst="rect">
                      <a:avLst/>
                    </a:prstGeom>
                  </pic:spPr>
                </pic:pic>
              </a:graphicData>
            </a:graphic>
          </wp:inline>
        </w:drawing>
      </w:r>
    </w:p>
    <w:p>
      <w:pPr>
        <w:framePr w:w="5308" w:h="270" w:x="540" w:y="17010" w:hAnchor="page" w:vAnchor="page" w:wrap="around"/>
        <w:jc w:val="center"/>
      </w:pPr>
      <w:r>
        <w:rPr>
          <w:i/>
          <w:iCs/>
          <w:color w:val="64748B"/>
          <w:sz w:val="14"/>
          <w:szCs w:val="14"/>
        </w:rPr>
        <w:t xml:space="preserve">Columnas + Cajas y bigotes + Líneas</w:t>
      </w:r>
    </w:p>
    <w:p>
      <w:pPr>
        <w:sectPr>
          <w:headerReference w:type="default" r:id="rId27"/>
          <w:footerReference w:type="default" r:id="rId28"/>
          <w:type w:val="nextPage"/>
          <w:pgSz w:w="11906" w:h="16838" w:orient="portrait"/>
          <w:pgMar w:top="870" w:right="0" w:bottom="720" w:left="0" w:header="225" w:footer="225" w:gutter="0"/>
          <w:pgNumType/>
          <w:docGrid w:linePitch="360"/>
        </w:sectPr>
      </w:pPr>
    </w:p>
    <w:p>
      <w:pPr>
        <w:pStyle w:val="Heading1"/>
        <w:framePr w:w="22731" w:h="600" w:x="540" w:y="1080" w:hAnchor="page" w:vAnchor="page" w:wrap="none"/>
        <w:jc w:val="left"/>
      </w:pPr>
      <w:r>
        <w:rPr>
          <w:rFonts w:ascii="Calibri" w:cs="Calibri" w:eastAsia="Calibri" w:hAnsi="Calibri"/>
          <w:b/>
          <w:bCs/>
          <w:color w:val="1E293B"/>
          <w:sz w:val="33"/>
          <w:szCs w:val="33"/>
        </w:rPr>
        <w:t xml:space="preserve">3.X Dashboard Panorámico (página A3 horizontal)</w:t>
      </w:r>
    </w:p>
    <w:p>
      <w:pPr>
        <w:framePr w:w="11261" w:h="20910" w:x="540" w:y="1830" w:hAnchor="page" w:vAnchor="page" w:wrap="around"/>
      </w:pPr>
      <w:r>
        <w:drawing>
          <wp:inline distT="0" distB="0" distL="0" distR="0">
            <wp:extent cx="7153275" cy="1327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7153275" cy="13277850"/>
                    </a:xfrm>
                    <a:prstGeom prst="rect">
                      <a:avLst/>
                    </a:prstGeom>
                  </pic:spPr>
                </pic:pic>
              </a:graphicData>
            </a:graphic>
          </wp:inline>
        </w:drawing>
      </w:r>
    </w:p>
    <w:p>
      <w:pPr>
        <w:framePr w:w="11261" w:h="270" w:x="540" w:y="22740" w:hAnchor="page" w:vAnchor="page" w:wrap="around"/>
        <w:jc w:val="center"/>
      </w:pPr>
      <w:r>
        <w:rPr>
          <w:i/>
          <w:iCs/>
          <w:color w:val="64748B"/>
          <w:sz w:val="14"/>
          <w:szCs w:val="14"/>
        </w:rPr>
        <w:t xml:space="preserve">Combustible de flota — 6 modelos combinados</w:t>
      </w:r>
    </w:p>
    <w:p>
      <w:pPr>
        <w:framePr w:w="11261" w:h="14070" w:x="12011" w:y="1830" w:hAnchor="page" w:vAnchor="page" w:wrap="around"/>
      </w:pPr>
      <w:r>
        <w:drawing>
          <wp:inline distT="0" distB="0" distL="0" distR="0">
            <wp:extent cx="7153275" cy="893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7153275" cy="8934450"/>
                    </a:xfrm>
                    <a:prstGeom prst="rect">
                      <a:avLst/>
                    </a:prstGeom>
                  </pic:spPr>
                </pic:pic>
              </a:graphicData>
            </a:graphic>
          </wp:inline>
        </w:drawing>
      </w:r>
    </w:p>
    <w:p>
      <w:pPr>
        <w:framePr w:w="11261" w:h="270" w:x="12011" w:y="15900" w:hAnchor="page" w:vAnchor="page" w:wrap="around"/>
        <w:jc w:val="center"/>
      </w:pPr>
      <w:r>
        <w:rPr>
          <w:i/>
          <w:iCs/>
          <w:color w:val="64748B"/>
          <w:sz w:val="14"/>
          <w:szCs w:val="14"/>
        </w:rPr>
        <w:t xml:space="preserve">Corriente eléctrica — 4 modelos combinados</w:t>
      </w:r>
    </w:p>
    <w:p>
      <w:pPr>
        <w:sectPr>
          <w:headerReference w:type="default" r:id="rId29"/>
          <w:footerReference w:type="default" r:id="rId30"/>
          <w:type w:val="nextPage"/>
          <w:pgSz w:w="16838" w:h="23811" w:orient="landscape"/>
          <w:pgMar w:top="870" w:right="0" w:bottom="720" w:left="0" w:header="225" w:footer="225" w:gutter="0"/>
          <w:pgNumType/>
          <w:docGrid w:linePitch="360"/>
        </w:sectPr>
      </w:pPr>
    </w:p>
    <w:p>
      <w:pPr>
        <w:pStyle w:val="Heading1"/>
        <w:framePr w:w="10826" w:h="600" w:x="540" w:y="1080" w:hAnchor="page" w:vAnchor="page" w:wrap="none"/>
        <w:jc w:val="left"/>
      </w:pPr>
      <w:r>
        <w:rPr>
          <w:rFonts w:ascii="Calibri" w:cs="Calibri" w:eastAsia="Calibri" w:hAnsi="Calibri"/>
          <w:b/>
          <w:bCs/>
          <w:color w:val="1E293B"/>
          <w:sz w:val="33"/>
          <w:szCs w:val="33"/>
        </w:rPr>
        <w:t xml:space="preserve">4. Matriz de Riesgos e Indicadores Operativos</w:t>
      </w:r>
    </w:p>
    <w:tbl>
      <w:tblPr>
        <w:tblpPr w:tblpX="540" w:tblpY="1770" w:horzAnchor="page" w:vertAnchor="page">
          <w:tblOverlap w:val="never"/>
        </w:tblpPr>
        <w:tblW w:type="dxa" w:w="108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70"/>
            <w:tcBorders>
              <w:top w:val="single" w:color="94A3B8" w:sz="4"/>
              <w:left w:val="single" w:color="94A3B8" w:sz="4"/>
              <w:bottom w:val="single" w:color="94A3B8" w:sz="4"/>
              <w:right w:val="single" w:color="94A3B8" w:sz="4"/>
            </w:tcBorders>
            <w:shd w:fill="17365D" w:color="auto" w:val="clear"/>
            <w:tcMar>
              <w:top w:type="dxa" w:w="120"/>
              <w:left w:type="dxa" w:w="120"/>
              <w:bottom w:type="dxa" w:w="120"/>
              <w:right w:type="dxa" w:w="120"/>
            </w:tcMar>
          </w:tcPr>
          <w:p>
            <w:pPr>
              <w:jc w:val="left"/>
            </w:pPr>
            <w:r>
              <w:rPr>
                <w:b/>
                <w:bCs/>
                <w:color w:val="FFFFFF"/>
                <w:sz w:val="18"/>
                <w:szCs w:val="18"/>
              </w:rPr>
              <w:t xml:space="preserve">Riesgo</w:t>
            </w:r>
          </w:p>
        </w:tc>
        <w:tc>
          <w:tcPr>
            <w:tcW w:type="dxa" w:w="2670"/>
            <w:tcBorders>
              <w:top w:val="single" w:color="94A3B8" w:sz="4"/>
              <w:left w:val="single" w:color="94A3B8" w:sz="4"/>
              <w:bottom w:val="single" w:color="94A3B8" w:sz="4"/>
              <w:right w:val="single" w:color="94A3B8" w:sz="4"/>
            </w:tcBorders>
            <w:shd w:fill="17365D" w:color="auto" w:val="clear"/>
            <w:tcMar>
              <w:top w:type="dxa" w:w="120"/>
              <w:left w:type="dxa" w:w="120"/>
              <w:bottom w:type="dxa" w:w="120"/>
              <w:right w:type="dxa" w:w="120"/>
            </w:tcMar>
          </w:tcPr>
          <w:p>
            <w:pPr>
              <w:jc w:val="left"/>
            </w:pPr>
            <w:r>
              <w:rPr>
                <w:b/>
                <w:bCs/>
                <w:color w:val="FFFFFF"/>
                <w:sz w:val="18"/>
                <w:szCs w:val="18"/>
              </w:rPr>
              <w:t xml:space="preserve">Probabilidad</w:t>
            </w:r>
          </w:p>
        </w:tc>
        <w:tc>
          <w:tcPr>
            <w:tcW w:type="dxa" w:w="2670"/>
            <w:tcBorders>
              <w:top w:val="single" w:color="94A3B8" w:sz="4"/>
              <w:left w:val="single" w:color="94A3B8" w:sz="4"/>
              <w:bottom w:val="single" w:color="94A3B8" w:sz="4"/>
              <w:right w:val="single" w:color="94A3B8" w:sz="4"/>
            </w:tcBorders>
            <w:shd w:fill="17365D" w:color="auto" w:val="clear"/>
            <w:tcMar>
              <w:top w:type="dxa" w:w="120"/>
              <w:left w:type="dxa" w:w="120"/>
              <w:bottom w:type="dxa" w:w="120"/>
              <w:right w:type="dxa" w:w="120"/>
            </w:tcMar>
          </w:tcPr>
          <w:p>
            <w:pPr>
              <w:jc w:val="left"/>
            </w:pPr>
            <w:r>
              <w:rPr>
                <w:b/>
                <w:bCs/>
                <w:color w:val="FFFFFF"/>
                <w:sz w:val="18"/>
                <w:szCs w:val="18"/>
              </w:rPr>
              <w:t xml:space="preserve">Impacto</w:t>
            </w:r>
          </w:p>
        </w:tc>
        <w:tc>
          <w:tcPr>
            <w:tcW w:type="dxa" w:w="2670"/>
            <w:tcBorders>
              <w:top w:val="single" w:color="94A3B8" w:sz="4"/>
              <w:left w:val="single" w:color="94A3B8" w:sz="4"/>
              <w:bottom w:val="single" w:color="94A3B8" w:sz="4"/>
              <w:right w:val="single" w:color="94A3B8" w:sz="4"/>
            </w:tcBorders>
            <w:shd w:fill="17365D" w:color="auto" w:val="clear"/>
            <w:tcMar>
              <w:top w:type="dxa" w:w="120"/>
              <w:left w:type="dxa" w:w="120"/>
              <w:bottom w:type="dxa" w:w="120"/>
              <w:right w:type="dxa" w:w="120"/>
            </w:tcMar>
          </w:tcPr>
          <w:p>
            <w:pPr>
              <w:jc w:val="left"/>
            </w:pPr>
            <w:r>
              <w:rPr>
                <w:b/>
                <w:bCs/>
                <w:color w:val="FFFFFF"/>
                <w:sz w:val="18"/>
                <w:szCs w:val="18"/>
              </w:rPr>
              <w:t xml:space="preserve">Estado</w:t>
            </w:r>
          </w:p>
        </w:tc>
      </w:tr>
      <w:tr>
        <w:trPr>
          <w:tblHeader w:val="false"/>
        </w:trPr>
        <w:tc>
          <w:tcPr>
            <w:tcW w:type="dxa" w:w="267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Desplazamiento de talud Nor-Este</w:t>
            </w:r>
          </w:p>
        </w:tc>
        <w:tc>
          <w:tcPr>
            <w:tcW w:type="dxa" w:w="267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Media</w:t>
            </w:r>
          </w:p>
        </w:tc>
        <w:tc>
          <w:tcPr>
            <w:tcW w:type="dxa" w:w="267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Alto</w:t>
            </w:r>
          </w:p>
        </w:tc>
        <w:tc>
          <w:tcPr>
            <w:tcW w:type="dxa" w:w="267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Crítico</w:t>
            </w:r>
          </w:p>
        </w:tc>
      </w:tr>
      <w:tr>
        <w:trPr>
          <w:tblHeader w:val="false"/>
        </w:trPr>
        <w:tc>
          <w:tcPr>
            <w:tcW w:type="dxa" w:w="2670"/>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Falla de comunicación satelital</w:t>
            </w:r>
          </w:p>
        </w:tc>
        <w:tc>
          <w:tcPr>
            <w:tcW w:type="dxa" w:w="2670"/>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Baja</w:t>
            </w:r>
          </w:p>
        </w:tc>
        <w:tc>
          <w:tcPr>
            <w:tcW w:type="dxa" w:w="2670"/>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Medio</w:t>
            </w:r>
          </w:p>
        </w:tc>
        <w:tc>
          <w:tcPr>
            <w:tcW w:type="dxa" w:w="2670"/>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En seguimiento</w:t>
            </w:r>
          </w:p>
        </w:tc>
      </w:tr>
      <w:tr>
        <w:trPr>
          <w:tblHeader w:val="false"/>
        </w:trPr>
        <w:tc>
          <w:tcPr>
            <w:tcW w:type="dxa" w:w="267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Saturación de piezómetros en temporada de lluvias</w:t>
            </w:r>
          </w:p>
        </w:tc>
        <w:tc>
          <w:tcPr>
            <w:tcW w:type="dxa" w:w="267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Alta</w:t>
            </w:r>
          </w:p>
        </w:tc>
        <w:tc>
          <w:tcPr>
            <w:tcW w:type="dxa" w:w="267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Alto</w:t>
            </w:r>
          </w:p>
        </w:tc>
        <w:tc>
          <w:tcPr>
            <w:tcW w:type="dxa" w:w="267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Precaución</w:t>
            </w:r>
          </w:p>
        </w:tc>
      </w:tr>
      <w:tr>
        <w:trPr>
          <w:tblHeader w:val="false"/>
        </w:trPr>
        <w:tc>
          <w:tcPr>
            <w:tcW w:type="dxa" w:w="2670"/>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Excedencia de vibración en chancadora primaria</w:t>
            </w:r>
          </w:p>
        </w:tc>
        <w:tc>
          <w:tcPr>
            <w:tcW w:type="dxa" w:w="2670"/>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Baja</w:t>
            </w:r>
          </w:p>
        </w:tc>
        <w:tc>
          <w:tcPr>
            <w:tcW w:type="dxa" w:w="2670"/>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Bajo</w:t>
            </w:r>
          </w:p>
        </w:tc>
        <w:tc>
          <w:tcPr>
            <w:tcW w:type="dxa" w:w="2670"/>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Óptimo</w:t>
            </w:r>
          </w:p>
        </w:tc>
      </w:tr>
      <w:tr>
        <w:trPr>
          <w:tblHeader w:val="false"/>
        </w:trPr>
        <w:tc>
          <w:tcPr>
            <w:tcW w:type="dxa" w:w="267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Pérdida de calibración en acelerógrafos</w:t>
            </w:r>
          </w:p>
        </w:tc>
        <w:tc>
          <w:tcPr>
            <w:tcW w:type="dxa" w:w="267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Media</w:t>
            </w:r>
          </w:p>
        </w:tc>
        <w:tc>
          <w:tcPr>
            <w:tcW w:type="dxa" w:w="267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Medio</w:t>
            </w:r>
          </w:p>
        </w:tc>
        <w:tc>
          <w:tcPr>
            <w:tcW w:type="dxa" w:w="267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Bueno</w:t>
            </w:r>
          </w:p>
        </w:tc>
      </w:tr>
    </w:tbl>
    <w:p>
      <w:pPr>
        <w:framePr w:w="2550" w:h="1650" w:x="540" w:y="5580" w:hAnchor="page" w:vAnchor="page" w:wrap="around"/>
        <w:jc w:val="center"/>
      </w:pPr>
      <w:r>
        <w:rPr>
          <w:b/>
          <w:bCs/>
          <w:color w:val="0891B2"/>
          <w:sz w:val="39"/>
          <w:szCs w:val="39"/>
        </w:rPr>
        <w:t xml:space="preserve">97.8 %</w:t>
      </w:r>
      <w:r>
        <w:br/>
        <w:br/>
        <w:t xml:space="preserve"/>
      </w:r>
      <w:r>
        <w:rPr>
          <w:color w:val="475569"/>
          <w:sz w:val="17"/>
          <w:szCs w:val="17"/>
        </w:rPr>
        <w:t xml:space="preserve">Disponibilidad del Sistema</w:t>
      </w:r>
    </w:p>
    <w:p>
      <w:pPr>
        <w:framePr w:w="2550" w:h="1650" w:x="3270" w:y="5580" w:hAnchor="page" w:vAnchor="page" w:wrap="around"/>
        <w:jc w:val="center"/>
      </w:pPr>
      <w:r>
        <w:rPr>
          <w:b/>
          <w:bCs/>
          <w:color w:val="0891B2"/>
          <w:sz w:val="39"/>
          <w:szCs w:val="39"/>
        </w:rPr>
        <w:t xml:space="preserve">184320 t</w:t>
      </w:r>
      <w:r>
        <w:br/>
        <w:br/>
        <w:t xml:space="preserve"/>
      </w:r>
      <w:r>
        <w:rPr>
          <w:color w:val="475569"/>
          <w:sz w:val="17"/>
          <w:szCs w:val="17"/>
        </w:rPr>
        <w:t xml:space="preserve">Tonelaje Movido</w:t>
      </w:r>
    </w:p>
    <w:p>
      <w:pPr>
        <w:framePr w:w="2550" w:h="1650" w:x="6000" w:y="5580" w:hAnchor="page" w:vAnchor="page" w:wrap="around"/>
        <w:jc w:val="center"/>
      </w:pPr>
      <w:r>
        <w:rPr>
          <w:b/>
          <w:bCs/>
          <w:color w:val="0891B2"/>
          <w:sz w:val="39"/>
          <w:szCs w:val="39"/>
        </w:rPr>
        <w:t xml:space="preserve">3</w:t>
      </w:r>
      <w:r>
        <w:br/>
        <w:br/>
        <w:t xml:space="preserve"/>
      </w:r>
      <w:r>
        <w:rPr>
          <w:color w:val="475569"/>
          <w:sz w:val="17"/>
          <w:szCs w:val="17"/>
        </w:rPr>
        <w:t xml:space="preserve">Alertas Activas</w:t>
      </w:r>
    </w:p>
    <w:p>
      <w:pPr>
        <w:framePr w:w="2550" w:h="1650" w:x="8730" w:y="5580" w:hAnchor="page" w:vAnchor="page" w:wrap="around"/>
        <w:jc w:val="center"/>
      </w:pPr>
      <w:r>
        <w:rPr>
          <w:b/>
          <w:bCs/>
          <w:color w:val="0891B2"/>
          <w:sz w:val="39"/>
          <w:szCs w:val="39"/>
        </w:rPr>
        <w:t xml:space="preserve">0.5 %</w:t>
      </w:r>
      <w:r>
        <w:br/>
        <w:br/>
        <w:t xml:space="preserve"/>
      </w:r>
      <w:r>
        <w:rPr>
          <w:color w:val="475569"/>
          <w:sz w:val="17"/>
          <w:szCs w:val="17"/>
        </w:rPr>
        <w:t xml:space="preserve">OEE Planta Concentradora</w:t>
      </w:r>
    </w:p>
    <w:p>
      <w:pPr>
        <w:framePr w:w="5323" w:h="2730" w:x="540" w:y="7680" w:hAnchor="page" w:vAnchor="page" w:wrap="around"/>
      </w:pPr>
      <w:r>
        <w:drawing>
          <wp:inline distT="0" distB="0" distL="0" distR="0">
            <wp:extent cx="338137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381375" cy="1733550"/>
                    </a:xfrm>
                    <a:prstGeom prst="rect">
                      <a:avLst/>
                    </a:prstGeom>
                  </pic:spPr>
                </pic:pic>
              </a:graphicData>
            </a:graphic>
          </wp:inline>
        </w:drawing>
      </w:r>
    </w:p>
    <w:p>
      <w:pPr>
        <w:framePr w:w="5323" w:h="270" w:x="540" w:y="10410" w:hAnchor="page" w:vAnchor="page" w:wrap="around"/>
        <w:jc w:val="center"/>
      </w:pPr>
      <w:r>
        <w:rPr>
          <w:i/>
          <w:iCs/>
          <w:color w:val="64748B"/>
          <w:sz w:val="14"/>
          <w:szCs w:val="14"/>
        </w:rPr>
        <w:t xml:space="preserve">Disponibilidad mensual del sistema</w:t>
      </w:r>
    </w:p>
    <w:p>
      <w:pPr>
        <w:framePr w:w="5323" w:h="420" w:x="6043" w:y="7680" w:hAnchor="page" w:vAnchor="page" w:wrap="around"/>
      </w:pPr>
      <w:r>
        <w:rPr>
          <w:b/>
          <w:bCs/>
          <w:sz w:val="21"/>
          <w:szCs w:val="21"/>
        </w:rPr>
        <w:t xml:space="preserve">Reporte Sismográfico del Periodo</w:t>
      </w:r>
      <w:r>
        <w:rPr>
          <w:color w:val="64748B"/>
          <w:sz w:val="17"/>
          <w:szCs w:val="17"/>
        </w:rPr>
        <w:t xml:space="preserve">  (2026-08-01 — 2026-08-29)</w:t>
      </w:r>
    </w:p>
    <w:tbl>
      <w:tblPr>
        <w:tblpPr w:tblpX="6043" w:tblpY="8190" w:horzAnchor="page" w:vertAnchor="page">
          <w:tblOverlap w:val="never"/>
        </w:tblpPr>
        <w:tblW w:type="dxa" w:w="5323"/>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90"/>
            <w:shd w:fill="17365D" w:color="auto" w:val="clear"/>
            <w:tcMar>
              <w:top w:type="dxa" w:w="60"/>
              <w:left w:type="dxa" w:w="80"/>
              <w:bottom w:type="dxa" w:w="60"/>
              <w:right w:type="dxa" w:w="80"/>
            </w:tcMar>
          </w:tcPr>
          <w:p>
            <w:r>
              <w:rPr>
                <w:b/>
                <w:bCs/>
                <w:color w:val="FFFFFF"/>
                <w:sz w:val="17"/>
                <w:szCs w:val="17"/>
              </w:rPr>
              <w:t xml:space="preserve">Fecha</w:t>
            </w:r>
          </w:p>
        </w:tc>
        <w:tc>
          <w:tcPr>
            <w:tcW w:type="dxa" w:w="852"/>
            <w:shd w:fill="17365D" w:color="auto" w:val="clear"/>
            <w:tcMar>
              <w:top w:type="dxa" w:w="60"/>
              <w:left w:type="dxa" w:w="80"/>
              <w:bottom w:type="dxa" w:w="60"/>
              <w:right w:type="dxa" w:w="80"/>
            </w:tcMar>
          </w:tcPr>
          <w:p>
            <w:r>
              <w:rPr>
                <w:b/>
                <w:bCs/>
                <w:color w:val="FFFFFF"/>
                <w:sz w:val="17"/>
                <w:szCs w:val="17"/>
              </w:rPr>
              <w:t xml:space="preserve">Mag.</w:t>
            </w:r>
          </w:p>
        </w:tc>
        <w:tc>
          <w:tcPr>
            <w:tcW w:type="dxa" w:w="1065"/>
            <w:shd w:fill="17365D" w:color="auto" w:val="clear"/>
            <w:tcMar>
              <w:top w:type="dxa" w:w="60"/>
              <w:left w:type="dxa" w:w="80"/>
              <w:bottom w:type="dxa" w:w="60"/>
              <w:right w:type="dxa" w:w="80"/>
            </w:tcMar>
          </w:tcPr>
          <w:p>
            <w:r>
              <w:rPr>
                <w:b/>
                <w:bCs/>
                <w:color w:val="FFFFFF"/>
                <w:sz w:val="17"/>
                <w:szCs w:val="17"/>
              </w:rPr>
              <w:t xml:space="preserve">Prof.(km)</w:t>
            </w:r>
          </w:p>
        </w:tc>
        <w:tc>
          <w:tcPr>
            <w:tcW w:type="dxa" w:w="1916"/>
            <w:shd w:fill="17365D" w:color="auto" w:val="clear"/>
            <w:tcMar>
              <w:top w:type="dxa" w:w="60"/>
              <w:left w:type="dxa" w:w="80"/>
              <w:bottom w:type="dxa" w:w="60"/>
              <w:right w:type="dxa" w:w="80"/>
            </w:tcMar>
          </w:tcPr>
          <w:p>
            <w:r>
              <w:rPr>
                <w:b/>
                <w:bCs/>
                <w:color w:val="FFFFFF"/>
                <w:sz w:val="17"/>
                <w:szCs w:val="17"/>
              </w:rPr>
              <w:t xml:space="preserve">Referencia</w:t>
            </w:r>
          </w:p>
        </w:tc>
      </w:tr>
      <w:tr>
        <w:tc>
          <w:tcPr>
            <w:tcW w:type="dxa" w:w="1490"/>
            <w:tcMar>
              <w:top w:type="dxa" w:w="60"/>
              <w:left w:type="dxa" w:w="80"/>
              <w:bottom w:type="dxa" w:w="60"/>
              <w:right w:type="dxa" w:w="80"/>
            </w:tcMar>
          </w:tcPr>
          <w:p>
            <w:r>
              <w:rPr>
                <w:sz w:val="15"/>
                <w:szCs w:val="15"/>
              </w:rPr>
              <w:t xml:space="preserve">2026-08-21</w:t>
            </w:r>
          </w:p>
        </w:tc>
        <w:tc>
          <w:tcPr>
            <w:tcW w:type="dxa" w:w="852"/>
            <w:tcMar>
              <w:top w:type="dxa" w:w="60"/>
              <w:left w:type="dxa" w:w="80"/>
              <w:bottom w:type="dxa" w:w="60"/>
              <w:right w:type="dxa" w:w="80"/>
            </w:tcMar>
          </w:tcPr>
          <w:p>
            <w:r>
              <w:rPr>
                <w:sz w:val="15"/>
                <w:szCs w:val="15"/>
              </w:rPr>
              <w:t xml:space="preserve">3.6</w:t>
            </w:r>
          </w:p>
        </w:tc>
        <w:tc>
          <w:tcPr>
            <w:tcW w:type="dxa" w:w="1065"/>
            <w:tcMar>
              <w:top w:type="dxa" w:w="60"/>
              <w:left w:type="dxa" w:w="80"/>
              <w:bottom w:type="dxa" w:w="60"/>
              <w:right w:type="dxa" w:w="80"/>
            </w:tcMar>
          </w:tcPr>
          <w:p>
            <w:r>
              <w:rPr>
                <w:sz w:val="15"/>
                <w:szCs w:val="15"/>
              </w:rPr>
              <w:t xml:space="preserve">45</w:t>
            </w:r>
          </w:p>
        </w:tc>
        <w:tc>
          <w:tcPr>
            <w:tcW w:type="dxa" w:w="1916"/>
            <w:tcMar>
              <w:top w:type="dxa" w:w="60"/>
              <w:left w:type="dxa" w:w="80"/>
              <w:bottom w:type="dxa" w:w="60"/>
              <w:right w:type="dxa" w:w="80"/>
            </w:tcMar>
          </w:tcPr>
          <w:p>
            <w:r>
              <w:rPr>
                <w:sz w:val="15"/>
                <w:szCs w:val="15"/>
              </w:rPr>
              <w:t xml:space="preserve">8km NE de Caravelí</w:t>
            </w:r>
          </w:p>
        </w:tc>
      </w:tr>
      <w:tr>
        <w:tc>
          <w:tcPr>
            <w:tcW w:type="dxa" w:w="1490"/>
            <w:tcMar>
              <w:top w:type="dxa" w:w="60"/>
              <w:left w:type="dxa" w:w="80"/>
              <w:bottom w:type="dxa" w:w="60"/>
              <w:right w:type="dxa" w:w="80"/>
            </w:tcMar>
          </w:tcPr>
          <w:p>
            <w:r>
              <w:rPr>
                <w:sz w:val="15"/>
                <w:szCs w:val="15"/>
              </w:rPr>
              <w:t xml:space="preserve">2026-08-15</w:t>
            </w:r>
          </w:p>
        </w:tc>
        <w:tc>
          <w:tcPr>
            <w:tcW w:type="dxa" w:w="852"/>
            <w:tcMar>
              <w:top w:type="dxa" w:w="60"/>
              <w:left w:type="dxa" w:w="80"/>
              <w:bottom w:type="dxa" w:w="60"/>
              <w:right w:type="dxa" w:w="80"/>
            </w:tcMar>
          </w:tcPr>
          <w:p>
            <w:r>
              <w:rPr>
                <w:sz w:val="15"/>
                <w:szCs w:val="15"/>
              </w:rPr>
              <w:t xml:space="preserve">4.2</w:t>
            </w:r>
          </w:p>
        </w:tc>
        <w:tc>
          <w:tcPr>
            <w:tcW w:type="dxa" w:w="1065"/>
            <w:tcMar>
              <w:top w:type="dxa" w:w="60"/>
              <w:left w:type="dxa" w:w="80"/>
              <w:bottom w:type="dxa" w:w="60"/>
              <w:right w:type="dxa" w:w="80"/>
            </w:tcMar>
          </w:tcPr>
          <w:p>
            <w:r>
              <w:rPr>
                <w:sz w:val="15"/>
                <w:szCs w:val="15"/>
              </w:rPr>
              <w:t xml:space="preserve">60</w:t>
            </w:r>
          </w:p>
        </w:tc>
        <w:tc>
          <w:tcPr>
            <w:tcW w:type="dxa" w:w="1916"/>
            <w:tcMar>
              <w:top w:type="dxa" w:w="60"/>
              <w:left w:type="dxa" w:w="80"/>
              <w:bottom w:type="dxa" w:w="60"/>
              <w:right w:type="dxa" w:w="80"/>
            </w:tcMar>
          </w:tcPr>
          <w:p>
            <w:r>
              <w:rPr>
                <w:sz w:val="15"/>
                <w:szCs w:val="15"/>
              </w:rPr>
              <w:t xml:space="preserve">12km SO de Arequipa</w:t>
            </w:r>
          </w:p>
        </w:tc>
      </w:tr>
      <w:tr>
        <w:tc>
          <w:tcPr>
            <w:tcW w:type="dxa" w:w="5323"/>
            <w:gridSpan w:val="4"/>
            <w:tcMar>
              <w:top w:type="dxa" w:w="80"/>
              <w:left w:type="dxa" w:w="80"/>
              <w:bottom w:type="dxa" w:w="60"/>
              <w:right w:type="dxa" w:w="80"/>
            </w:tcMar>
          </w:tcPr>
          <w:p>
            <w:r>
              <w:rPr>
                <w:i/>
                <w:iCs/>
                <w:color w:val="334155"/>
                <w:sz w:val="15"/>
                <w:szCs w:val="15"/>
              </w:rPr>
              <w:t xml:space="preserve">Microsismicidad — sensores propios: 17 eventos detectados en el rango.</w:t>
            </w:r>
          </w:p>
        </w:tc>
      </w:tr>
    </w:tbl>
    <w:p>
      <w:pPr>
        <w:sectPr>
          <w:headerReference w:type="default" r:id="rId31"/>
          <w:footerReference w:type="default" r:id="rId32"/>
          <w:type w:val="nextPage"/>
          <w:pgSz w:w="11906" w:h="16838" w:orient="portrait"/>
          <w:pgMar w:top="870" w:right="0" w:bottom="720" w:left="0" w:header="225" w:footer="225" w:gutter="0"/>
          <w:pgNumType/>
          <w:docGrid w:linePitch="360"/>
        </w:sectPr>
      </w:pPr>
    </w:p>
    <w:p>
      <w:pPr>
        <w:pStyle w:val="Heading1"/>
        <w:framePr w:w="10826" w:h="600" w:x="540" w:y="1080" w:hAnchor="page" w:vAnchor="page" w:wrap="none"/>
        <w:jc w:val="left"/>
      </w:pPr>
      <w:r>
        <w:rPr>
          <w:rFonts w:ascii="Calibri" w:cs="Calibri" w:eastAsia="Calibri" w:hAnsi="Calibri"/>
          <w:b/>
          <w:bCs/>
          <w:color w:val="1E293B"/>
          <w:sz w:val="33"/>
          <w:szCs w:val="33"/>
        </w:rPr>
        <w:t xml:space="preserve">5. Conclusiones</w:t>
      </w:r>
    </w:p>
    <w:p>
      <w:pPr>
        <w:framePr w:w="10826" w:h="3900" w:x="540" w:y="1770" w:hAnchor="page" w:vAnchor="page" w:wrap="none"/>
        <w:jc w:val="left"/>
      </w:pPr>
      <w:r>
        <w:rPr>
          <w:rFonts w:ascii="Arial" w:cs="Arial" w:eastAsia="Arial" w:hAnsi="Arial"/>
          <w:color w:val="1E293B"/>
          <w:sz w:val="18"/>
          <w:szCs w:val="18"/>
        </w:rPr>
        <w:t xml:space="preserve">1. La red de instrumentación geotécnica evaluada opera dentro de los parámetros de disponibilidad esperados (97.8%), con un número acotado de alertas activas (3) en seguimiento.</w:t>
      </w:r>
      <w:r>
        <w:rPr>
          <w:rFonts w:ascii="Arial" w:cs="Arial" w:eastAsia="Arial" w:hAnsi="Arial"/>
          <w:color w:val="1E293B"/>
          <w:sz w:val="18"/>
          <w:szCs w:val="18"/>
        </w:rPr>
        <w:br/>
        <w:br/>
        <w:t xml:space="preserve">2. Los 19 dashboards multi-panel evaluados en la Sección 3 (más el panel panorámico A3) confirman que el motor de captura para exportación DOCX/PPTX sostiene decenas de gráficos ECharts renderizando en simultáneo sin pérdida de datos ni imágenes en blanco.</w:t>
      </w:r>
      <w:r>
        <w:rPr>
          <w:rFonts w:ascii="Arial" w:cs="Arial" w:eastAsia="Arial" w:hAnsi="Arial"/>
          <w:color w:val="1E293B"/>
          <w:sz w:val="18"/>
          <w:szCs w:val="18"/>
        </w:rPr>
        <w:br/>
        <w:br/>
        <w:t xml:space="preserve">3. El catálogo individual de 19 tipos de gráfico (Sección 2) y la matriz de riesgos (Sección 4) cubren de forma exhaustiva los escenarios de análisis geotécnico y operativo requeridos.</w:t>
      </w:r>
    </w:p>
    <w:p>
      <w:pPr>
        <w:sectPr>
          <w:headerReference w:type="default" r:id="rId33"/>
          <w:footerReference w:type="default" r:id="rId34"/>
          <w:type w:val="nextPage"/>
          <w:pgSz w:w="11906" w:h="16838" w:orient="portrait"/>
          <w:pgMar w:top="870" w:right="0" w:bottom="720" w:left="0" w:header="225" w:footer="225" w:gutter="0"/>
          <w:pgNumType/>
          <w:docGrid w:linePitch="360"/>
        </w:sectPr>
      </w:pPr>
    </w:p>
    <w:p>
      <w:pPr>
        <w:pStyle w:val="Heading1"/>
        <w:framePr w:w="10826" w:h="600" w:x="540" w:y="1080" w:hAnchor="page" w:vAnchor="page" w:wrap="none"/>
        <w:jc w:val="left"/>
      </w:pPr>
      <w:r>
        <w:rPr>
          <w:rFonts w:ascii="Calibri" w:cs="Calibri" w:eastAsia="Calibri" w:hAnsi="Calibri"/>
          <w:b/>
          <w:bCs/>
          <w:color w:val="1E293B"/>
          <w:sz w:val="33"/>
          <w:szCs w:val="33"/>
        </w:rPr>
        <w:t xml:space="preserve">6. Recomendaciones</w:t>
      </w:r>
    </w:p>
    <w:p>
      <w:pPr>
        <w:framePr w:w="10826" w:h="3900" w:x="540" w:y="1770" w:hAnchor="page" w:vAnchor="page" w:wrap="none"/>
        <w:jc w:val="left"/>
      </w:pPr>
      <w:r>
        <w:rPr>
          <w:rFonts w:ascii="Arial" w:cs="Arial" w:eastAsia="Arial" w:hAnsi="Arial"/>
          <w:color w:val="1E293B"/>
          <w:sz w:val="18"/>
          <w:szCs w:val="18"/>
        </w:rPr>
        <w:t xml:space="preserve">• Mantener la frecuencia actual de lectura en los sensores de tipo extensómetro y radar de taludes.</w:t>
      </w:r>
      <w:r>
        <w:rPr>
          <w:rFonts w:ascii="Arial" w:cs="Arial" w:eastAsia="Arial" w:hAnsi="Arial"/>
          <w:color w:val="1E293B"/>
          <w:sz w:val="18"/>
          <w:szCs w:val="18"/>
        </w:rPr>
        <w:br/>
        <w:br/>
        <w:t xml:space="preserve">• Programar mantenimiento preventivo trimestral para sensores con más de 18 meses sin recalibrar.</w:t>
      </w:r>
      <w:r>
        <w:rPr>
          <w:rFonts w:ascii="Arial" w:cs="Arial" w:eastAsia="Arial" w:hAnsi="Arial"/>
          <w:color w:val="1E293B"/>
          <w:sz w:val="18"/>
          <w:szCs w:val="18"/>
        </w:rPr>
        <w:br/>
        <w:br/>
        <w:t xml:space="preserve">• Evaluar la ampliación de la red de piezómetros en el sector de mayor variabilidad detectado.</w:t>
      </w:r>
      <w:r>
        <w:rPr>
          <w:rFonts w:ascii="Arial" w:cs="Arial" w:eastAsia="Arial" w:hAnsi="Arial"/>
          <w:color w:val="1E293B"/>
          <w:sz w:val="18"/>
          <w:szCs w:val="18"/>
        </w:rPr>
        <w:br/>
        <w:br/>
        <w:t xml:space="preserve">• Formalizar la revisión mensual del catálogo de visualizaciones como parte del comité técnico.</w:t>
      </w:r>
    </w:p>
    <w:p>
      <w:pPr>
        <w:sectPr>
          <w:headerReference w:type="default" r:id="rId35"/>
          <w:footerReference w:type="default" r:id="rId36"/>
          <w:type w:val="nextPage"/>
          <w:pgSz w:w="11906" w:h="16838" w:orient="portrait"/>
          <w:pgMar w:top="870" w:right="0" w:bottom="720" w:left="0" w:header="225" w:footer="225" w:gutter="0"/>
          <w:pgNumType/>
          <w:docGrid w:linePitch="360"/>
        </w:sectPr>
      </w:pPr>
    </w:p>
    <w:p>
      <w:pPr>
        <w:pStyle w:val="Heading1"/>
        <w:framePr w:w="10826" w:h="600" w:x="540" w:y="1080" w:hAnchor="page" w:vAnchor="page" w:wrap="none"/>
        <w:jc w:val="left"/>
      </w:pPr>
      <w:r>
        <w:rPr>
          <w:rFonts w:ascii="Calibri" w:cs="Calibri" w:eastAsia="Calibri" w:hAnsi="Calibri"/>
          <w:b/>
          <w:bCs/>
          <w:color w:val="1E293B"/>
          <w:sz w:val="33"/>
          <w:szCs w:val="33"/>
        </w:rPr>
        <w:t xml:space="preserve">ANEXO A — Listado de Sensores por Tipo</w:t>
      </w:r>
    </w:p>
    <w:tbl>
      <w:tblPr>
        <w:tblpPr w:tblpX="540" w:tblpY="1770" w:horzAnchor="page" w:vertAnchor="page">
          <w:tblOverlap w:val="never"/>
        </w:tblpPr>
        <w:tblW w:type="dxa" w:w="108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55"/>
            <w:tcBorders>
              <w:top w:val="single" w:color="94A3B8" w:sz="4"/>
              <w:left w:val="single" w:color="94A3B8" w:sz="4"/>
              <w:bottom w:val="single" w:color="94A3B8" w:sz="4"/>
              <w:right w:val="single" w:color="94A3B8" w:sz="4"/>
            </w:tcBorders>
            <w:shd w:fill="17365D" w:color="auto" w:val="clear"/>
            <w:tcMar>
              <w:top w:type="dxa" w:w="120"/>
              <w:left w:type="dxa" w:w="120"/>
              <w:bottom w:type="dxa" w:w="120"/>
              <w:right w:type="dxa" w:w="120"/>
            </w:tcMar>
          </w:tcPr>
          <w:p>
            <w:pPr>
              <w:jc w:val="left"/>
            </w:pPr>
            <w:r>
              <w:rPr>
                <w:b/>
                <w:bCs/>
                <w:color w:val="FFFFFF"/>
                <w:sz w:val="18"/>
                <w:szCs w:val="18"/>
              </w:rPr>
              <w:t xml:space="preserve">Código</w:t>
            </w:r>
          </w:p>
        </w:tc>
        <w:tc>
          <w:tcPr>
            <w:tcW w:type="dxa" w:w="3555"/>
            <w:tcBorders>
              <w:top w:val="single" w:color="94A3B8" w:sz="4"/>
              <w:left w:val="single" w:color="94A3B8" w:sz="4"/>
              <w:bottom w:val="single" w:color="94A3B8" w:sz="4"/>
              <w:right w:val="single" w:color="94A3B8" w:sz="4"/>
            </w:tcBorders>
            <w:shd w:fill="17365D" w:color="auto" w:val="clear"/>
            <w:tcMar>
              <w:top w:type="dxa" w:w="120"/>
              <w:left w:type="dxa" w:w="120"/>
              <w:bottom w:type="dxa" w:w="120"/>
              <w:right w:type="dxa" w:w="120"/>
            </w:tcMar>
          </w:tcPr>
          <w:p>
            <w:pPr>
              <w:jc w:val="left"/>
            </w:pPr>
            <w:r>
              <w:rPr>
                <w:b/>
                <w:bCs/>
                <w:color w:val="FFFFFF"/>
                <w:sz w:val="18"/>
                <w:szCs w:val="18"/>
              </w:rPr>
              <w:t xml:space="preserve">Tipo de sensor</w:t>
            </w:r>
          </w:p>
        </w:tc>
        <w:tc>
          <w:tcPr>
            <w:tcW w:type="dxa" w:w="3555"/>
            <w:tcBorders>
              <w:top w:val="single" w:color="94A3B8" w:sz="4"/>
              <w:left w:val="single" w:color="94A3B8" w:sz="4"/>
              <w:bottom w:val="single" w:color="94A3B8" w:sz="4"/>
              <w:right w:val="single" w:color="94A3B8" w:sz="4"/>
            </w:tcBorders>
            <w:shd w:fill="17365D" w:color="auto" w:val="clear"/>
            <w:tcMar>
              <w:top w:type="dxa" w:w="120"/>
              <w:left w:type="dxa" w:w="120"/>
              <w:bottom w:type="dxa" w:w="120"/>
              <w:right w:type="dxa" w:w="120"/>
            </w:tcMar>
          </w:tcPr>
          <w:p>
            <w:pPr>
              <w:jc w:val="left"/>
            </w:pPr>
            <w:r>
              <w:rPr>
                <w:b/>
                <w:bCs/>
                <w:color w:val="FFFFFF"/>
                <w:sz w:val="18"/>
                <w:szCs w:val="18"/>
              </w:rPr>
              <w:t xml:space="preserve">Unidad</w:t>
            </w:r>
          </w:p>
        </w:tc>
      </w:tr>
      <w:tr>
        <w:trPr>
          <w:tblHeader w:val="false"/>
        </w:trPr>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ACEL-03</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accelerograph</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g</w:t>
            </w:r>
          </w:p>
        </w:tc>
      </w:tr>
      <w:tr>
        <w:trPr>
          <w:tblHeader w:val="false"/>
        </w:trPr>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PZ-VW-09</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piezometer_vw</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kPa</w:t>
            </w:r>
          </w:p>
        </w:tc>
      </w:tr>
      <w:tr>
        <w:trPr>
          <w:tblHeader w:val="false"/>
        </w:trPr>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INCL-07</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inclinometer</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mm</w:t>
            </w:r>
          </w:p>
        </w:tc>
      </w:tr>
      <w:tr>
        <w:trPr>
          <w:tblHeader w:val="false"/>
        </w:trPr>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EXT-05</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extensometer</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mm</w:t>
            </w:r>
          </w:p>
        </w:tc>
      </w:tr>
      <w:tr>
        <w:trPr>
          <w:tblHeader w:val="false"/>
        </w:trPr>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RADAR-01</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radar_displacement</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mm/dia</w:t>
            </w:r>
          </w:p>
        </w:tc>
      </w:tr>
      <w:tr>
        <w:trPr>
          <w:tblHeader w:val="false"/>
        </w:trPr>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EM-01-TEMP</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temperature</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°C</w:t>
            </w:r>
          </w:p>
        </w:tc>
      </w:tr>
      <w:tr>
        <w:trPr>
          <w:tblHeader w:val="false"/>
        </w:trPr>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EM-01-HUM</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humidity</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w:t>
            </w:r>
          </w:p>
        </w:tc>
      </w:tr>
      <w:tr>
        <w:trPr>
          <w:tblHeader w:val="false"/>
        </w:trPr>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SISM-01</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seismograph</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Hz</w:t>
            </w:r>
          </w:p>
        </w:tc>
      </w:tr>
      <w:tr>
        <w:trPr>
          <w:tblHeader w:val="false"/>
        </w:trPr>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CRACK-02</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crack_sensor</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mm</w:t>
            </w:r>
          </w:p>
        </w:tc>
      </w:tr>
      <w:tr>
        <w:trPr>
          <w:tblHeader w:val="false"/>
        </w:trPr>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TILT-02</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tiltmeter</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deg</w:t>
            </w:r>
          </w:p>
        </w:tc>
      </w:tr>
      <w:tr>
        <w:trPr>
          <w:tblHeader w:val="false"/>
        </w:trPr>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CELDA-AS-01</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settlement_cell</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mm</w:t>
            </w:r>
          </w:p>
        </w:tc>
      </w:tr>
      <w:tr>
        <w:trPr>
          <w:tblHeader w:val="false"/>
        </w:trPr>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GNSS-01</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gnss_displacement</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mm</w:t>
            </w:r>
          </w:p>
        </w:tc>
      </w:tr>
      <w:tr>
        <w:trPr>
          <w:tblHeader w:val="false"/>
        </w:trPr>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PH-01</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ph</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pH</w:t>
            </w:r>
          </w:p>
        </w:tc>
      </w:tr>
      <w:tr>
        <w:trPr>
          <w:tblHeader w:val="false"/>
        </w:trPr>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TURB-01</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turbidity</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NTU</w:t>
            </w:r>
          </w:p>
        </w:tc>
      </w:tr>
      <w:tr>
        <w:trPr>
          <w:tblHeader w:val="false"/>
        </w:trPr>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PM10-01</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dust_pm10</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ug/m3</w:t>
            </w:r>
          </w:p>
        </w:tc>
      </w:tr>
      <w:tr>
        <w:trPr>
          <w:tblHeader w:val="false"/>
        </w:trPr>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EM-01-VIENTO</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wind_speed</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m/s</w:t>
            </w:r>
          </w:p>
        </w:tc>
      </w:tr>
      <w:tr>
        <w:trPr>
          <w:tblHeader w:val="false"/>
        </w:trPr>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CAM-01-FUEL</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fuel_level</w:t>
            </w:r>
          </w:p>
        </w:tc>
        <w:tc>
          <w:tcPr>
            <w:tcW w:type="dxa" w:w="3555"/>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w:t>
            </w:r>
          </w:p>
        </w:tc>
      </w:tr>
      <w:tr>
        <w:trPr>
          <w:tblHeader w:val="false"/>
        </w:trPr>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ELEC-01-CURR</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current</w:t>
            </w:r>
          </w:p>
        </w:tc>
        <w:tc>
          <w:tcPr>
            <w:tcW w:type="dxa" w:w="355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A</w:t>
            </w:r>
          </w:p>
        </w:tc>
      </w:tr>
    </w:tbl>
    <w:p>
      <w:pPr>
        <w:sectPr>
          <w:headerReference w:type="default" r:id="rId37"/>
          <w:footerReference w:type="default" r:id="rId38"/>
          <w:type w:val="nextPage"/>
          <w:pgSz w:w="11906" w:h="16838" w:orient="portrait"/>
          <w:pgMar w:top="870" w:right="0" w:bottom="720" w:left="0" w:header="225" w:footer="225" w:gutter="0"/>
          <w:pgNumType/>
          <w:docGrid w:linePitch="360"/>
        </w:sectPr>
      </w:pPr>
    </w:p>
    <w:p>
      <w:pPr>
        <w:pStyle w:val="Heading1"/>
        <w:framePr w:w="10826" w:h="600" w:x="540" w:y="1080" w:hAnchor="page" w:vAnchor="page" w:wrap="none"/>
        <w:jc w:val="left"/>
      </w:pPr>
      <w:r>
        <w:rPr>
          <w:rFonts w:ascii="Calibri" w:cs="Calibri" w:eastAsia="Calibri" w:hAnsi="Calibri"/>
          <w:b/>
          <w:bCs/>
          <w:color w:val="1E293B"/>
          <w:sz w:val="33"/>
          <w:szCs w:val="33"/>
        </w:rPr>
        <w:t xml:space="preserve">ANEXO B — Glosario de Términos</w:t>
      </w:r>
    </w:p>
    <w:tbl>
      <w:tblPr>
        <w:tblpPr w:tblpX="540" w:tblpY="1770" w:horzAnchor="page" w:vertAnchor="page">
          <w:tblOverlap w:val="never"/>
        </w:tblpPr>
        <w:tblW w:type="dxa" w:w="108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340"/>
            <w:tcBorders>
              <w:top w:val="single" w:color="94A3B8" w:sz="4"/>
              <w:left w:val="single" w:color="94A3B8" w:sz="4"/>
              <w:bottom w:val="single" w:color="94A3B8" w:sz="4"/>
              <w:right w:val="single" w:color="94A3B8" w:sz="4"/>
            </w:tcBorders>
            <w:shd w:fill="17365D" w:color="auto" w:val="clear"/>
            <w:tcMar>
              <w:top w:type="dxa" w:w="120"/>
              <w:left w:type="dxa" w:w="120"/>
              <w:bottom w:type="dxa" w:w="120"/>
              <w:right w:type="dxa" w:w="120"/>
            </w:tcMar>
          </w:tcPr>
          <w:p>
            <w:pPr>
              <w:jc w:val="left"/>
            </w:pPr>
            <w:r>
              <w:rPr>
                <w:b/>
                <w:bCs/>
                <w:color w:val="FFFFFF"/>
                <w:sz w:val="18"/>
                <w:szCs w:val="18"/>
              </w:rPr>
              <w:t xml:space="preserve">Término</w:t>
            </w:r>
          </w:p>
        </w:tc>
        <w:tc>
          <w:tcPr>
            <w:tcW w:type="dxa" w:w="5340"/>
            <w:tcBorders>
              <w:top w:val="single" w:color="94A3B8" w:sz="4"/>
              <w:left w:val="single" w:color="94A3B8" w:sz="4"/>
              <w:bottom w:val="single" w:color="94A3B8" w:sz="4"/>
              <w:right w:val="single" w:color="94A3B8" w:sz="4"/>
            </w:tcBorders>
            <w:shd w:fill="17365D" w:color="auto" w:val="clear"/>
            <w:tcMar>
              <w:top w:type="dxa" w:w="120"/>
              <w:left w:type="dxa" w:w="120"/>
              <w:bottom w:type="dxa" w:w="120"/>
              <w:right w:type="dxa" w:w="120"/>
            </w:tcMar>
          </w:tcPr>
          <w:p>
            <w:pPr>
              <w:jc w:val="left"/>
            </w:pPr>
            <w:r>
              <w:rPr>
                <w:b/>
                <w:bCs/>
                <w:color w:val="FFFFFF"/>
                <w:sz w:val="18"/>
                <w:szCs w:val="18"/>
              </w:rPr>
              <w:t xml:space="preserve">Definición</w:t>
            </w:r>
          </w:p>
        </w:tc>
      </w:tr>
      <w:tr>
        <w:trPr>
          <w:tblHeader w:val="false"/>
        </w:trPr>
        <w:tc>
          <w:tcPr>
            <w:tcW w:type="dxa" w:w="534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RQD</w:t>
            </w:r>
          </w:p>
        </w:tc>
        <w:tc>
          <w:tcPr>
            <w:tcW w:type="dxa" w:w="534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Rock Quality Designation — índice de calidad de macizo rocoso basado en fracturamiento.</w:t>
            </w:r>
          </w:p>
        </w:tc>
      </w:tr>
      <w:tr>
        <w:trPr>
          <w:tblHeader w:val="false"/>
        </w:trPr>
        <w:tc>
          <w:tcPr>
            <w:tcW w:type="dxa" w:w="5340"/>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Piezómetro</w:t>
            </w:r>
          </w:p>
        </w:tc>
        <w:tc>
          <w:tcPr>
            <w:tcW w:type="dxa" w:w="5340"/>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Instrumento que mide la presión de poros/agua subterránea en el subsuelo.</w:t>
            </w:r>
          </w:p>
        </w:tc>
      </w:tr>
      <w:tr>
        <w:trPr>
          <w:tblHeader w:val="false"/>
        </w:trPr>
        <w:tc>
          <w:tcPr>
            <w:tcW w:type="dxa" w:w="534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Extensómetro</w:t>
            </w:r>
          </w:p>
        </w:tc>
        <w:tc>
          <w:tcPr>
            <w:tcW w:type="dxa" w:w="534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Sensor que mide el desplazamiento relativo entre dos puntos fijos.</w:t>
            </w:r>
          </w:p>
        </w:tc>
      </w:tr>
      <w:tr>
        <w:trPr>
          <w:tblHeader w:val="false"/>
        </w:trPr>
        <w:tc>
          <w:tcPr>
            <w:tcW w:type="dxa" w:w="5340"/>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OEE</w:t>
            </w:r>
          </w:p>
        </w:tc>
        <w:tc>
          <w:tcPr>
            <w:tcW w:type="dxa" w:w="5340"/>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left"/>
            </w:pPr>
            <w:r>
              <w:rPr>
                <w:sz w:val="18"/>
                <w:szCs w:val="18"/>
              </w:rPr>
              <w:t xml:space="preserve">Overall Equipment Effectiveness — indicador de eficiencia global de un equipo/planta.</w:t>
            </w:r>
          </w:p>
        </w:tc>
      </w:tr>
      <w:tr>
        <w:trPr>
          <w:tblHeader w:val="false"/>
        </w:trPr>
        <w:tc>
          <w:tcPr>
            <w:tcW w:type="dxa" w:w="534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IGP</w:t>
            </w:r>
          </w:p>
        </w:tc>
        <w:tc>
          <w:tcPr>
            <w:tcW w:type="dxa" w:w="5340"/>
            <w:tcBorders>
              <w:top w:val="single" w:color="94A3B8" w:sz="4"/>
              <w:left w:val="single" w:color="94A3B8" w:sz="4"/>
              <w:bottom w:val="single" w:color="94A3B8" w:sz="4"/>
              <w:right w:val="single" w:color="94A3B8" w:sz="4"/>
            </w:tcBorders>
            <w:shd w:fill="F5F8FA" w:color="auto" w:val="clear"/>
            <w:tcMar>
              <w:top w:type="dxa" w:w="120"/>
              <w:left w:type="dxa" w:w="120"/>
              <w:bottom w:type="dxa" w:w="120"/>
              <w:right w:type="dxa" w:w="120"/>
            </w:tcMar>
          </w:tcPr>
          <w:p>
            <w:pPr>
              <w:jc w:val="left"/>
            </w:pPr>
            <w:r>
              <w:rPr>
                <w:sz w:val="18"/>
                <w:szCs w:val="18"/>
              </w:rPr>
              <w:t xml:space="preserve">Instituto Geofísico del Perú — entidad oficial de monitoreo sísmico nacional.</w:t>
            </w:r>
          </w:p>
        </w:tc>
      </w:tr>
    </w:tbl>
    <w:p>
      <w:pPr>
        <w:sectPr>
          <w:headerReference w:type="default" r:id="rId39"/>
          <w:footerReference w:type="default" r:id="rId40"/>
          <w:type w:val="nextPage"/>
          <w:pgSz w:w="11906" w:h="16838" w:orient="portrait"/>
          <w:pgMar w:top="870" w:right="0" w:bottom="720" w:left="0" w:header="225" w:footer="225" w:gutter="0"/>
          <w:pgNumType/>
          <w:docGrid w:linePitch="360"/>
        </w:sectPr>
      </w:pPr>
    </w:p>
    <w:p>
      <w:pPr>
        <w:pStyle w:val="Heading1"/>
        <w:framePr w:w="10826" w:h="600" w:x="540" w:y="1080" w:hAnchor="page" w:vAnchor="page" w:wrap="none"/>
        <w:jc w:val="left"/>
      </w:pPr>
      <w:r>
        <w:rPr>
          <w:rFonts w:ascii="Calibri" w:cs="Calibri" w:eastAsia="Calibri" w:hAnsi="Calibri"/>
          <w:b/>
          <w:bCs/>
          <w:color w:val="1E293B"/>
          <w:sz w:val="33"/>
          <w:szCs w:val="33"/>
        </w:rPr>
        <w:t xml:space="preserve">BIBLIOGRAFÍA / REFERENCIAS</w:t>
      </w:r>
    </w:p>
    <w:p>
      <w:pPr>
        <w:framePr w:w="10826" w:h="4500" w:x="540" w:y="1770" w:hAnchor="page" w:vAnchor="page" w:wrap="none"/>
        <w:jc w:val="left"/>
      </w:pPr>
      <w:r>
        <w:rPr>
          <w:rFonts w:ascii="Arial" w:cs="Arial" w:eastAsia="Arial" w:hAnsi="Arial"/>
          <w:color w:val="1E293B"/>
          <w:sz w:val="17"/>
          <w:szCs w:val="17"/>
        </w:rPr>
        <w:t xml:space="preserve">Hoek, E., Carranza-Torres, C., &amp; Corkum, B. (2002). Hoek-Brown failure criterion — 2002 edition. Proceedings of NARMS-TAC Conference, 1, 267–273.</w:t>
      </w:r>
      <w:r>
        <w:rPr>
          <w:rFonts w:ascii="Arial" w:cs="Arial" w:eastAsia="Arial" w:hAnsi="Arial"/>
          <w:color w:val="1E293B"/>
          <w:sz w:val="17"/>
          <w:szCs w:val="17"/>
        </w:rPr>
        <w:br/>
        <w:br/>
        <w:t xml:space="preserve">International Society for Rock Mechanics. (2007). The complete ISRM suggested methods for rock characterization, testing and monitoring: 1974–2006 (R. Ulusay &amp; J. A. Hudson, Eds.). ISRM Turkish National Group.</w:t>
      </w:r>
      <w:r>
        <w:rPr>
          <w:rFonts w:ascii="Arial" w:cs="Arial" w:eastAsia="Arial" w:hAnsi="Arial"/>
          <w:color w:val="1E293B"/>
          <w:sz w:val="17"/>
          <w:szCs w:val="17"/>
        </w:rPr>
        <w:br/>
        <w:br/>
        <w:t xml:space="preserve">Instituto Geofísico del Perú. (2026). Reporte sísmico integrado [Conjunto de datos]. IGP. https://ultimosismo.igp.gob.pe</w:t>
      </w:r>
      <w:r>
        <w:rPr>
          <w:rFonts w:ascii="Arial" w:cs="Arial" w:eastAsia="Arial" w:hAnsi="Arial"/>
          <w:color w:val="1E293B"/>
          <w:sz w:val="17"/>
          <w:szCs w:val="17"/>
        </w:rPr>
        <w:br/>
        <w:br/>
        <w:t xml:space="preserve">Beemetry Mining Platform. (2026). Manual técnico del motor de exportación DOCX/PPTX de ReportStudioV2 (v3.0) [Documentación interna]. Beemetry.</w:t>
      </w:r>
      <w:r>
        <w:rPr>
          <w:rFonts w:ascii="Arial" w:cs="Arial" w:eastAsia="Arial" w:hAnsi="Arial"/>
          <w:color w:val="1E293B"/>
          <w:sz w:val="17"/>
          <w:szCs w:val="17"/>
        </w:rPr>
        <w:br/>
        <w:br/>
        <w:t xml:space="preserve">Read, J., &amp; Stacey, P. (2009). Guidelines for open pit slope design. CSIRO Publishing.</w:t>
      </w:r>
    </w:p>
    <w:sectPr>
      <w:headerReference w:type="default" r:id="rId41"/>
      <w:footerReference w:type="default" r:id="rId42"/>
      <w:type w:val="nextPage"/>
      <w:pgSz w:w="11906" w:h="16838" w:orient="portrait"/>
      <w:pgMar w:top="870" w:right="0" w:bottom="720" w:left="0" w:header="225" w:footer="225"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22731"/>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26"/>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  UNIDAD PRINCIPAL  •  L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image" Target="media/04204236d6991bb118e0fc0360da33a8c0425ea1.png"/><Relationship Id="rId44" Type="http://schemas.openxmlformats.org/officeDocument/2006/relationships/image" Target="media/229fe7cb379f0243e3265a866660fe59eb702af4.png"/><Relationship Id="rId45" Type="http://schemas.openxmlformats.org/officeDocument/2006/relationships/image" Target="media/4d5acb35e9af6221a2677c4cc4e425c2fcff1957.png"/><Relationship Id="rId46" Type="http://schemas.openxmlformats.org/officeDocument/2006/relationships/image" Target="media/1577be81c4f5291230d43322dba07e3e20d11bf6.png"/><Relationship Id="rId47" Type="http://schemas.openxmlformats.org/officeDocument/2006/relationships/image" Target="media/97a7e0a877e7cb8e2a68ee57c347dc9bcbef7a7b.png"/><Relationship Id="rId48" Type="http://schemas.openxmlformats.org/officeDocument/2006/relationships/image" Target="media/4dd9ff141890e2dc6596f4fac826e42fac17d17a.png"/><Relationship Id="rId49" Type="http://schemas.openxmlformats.org/officeDocument/2006/relationships/image" Target="media/8475a7cd94322bb43fd7a8743a7607e27fddf518.png"/><Relationship Id="rId50" Type="http://schemas.openxmlformats.org/officeDocument/2006/relationships/image" Target="media/7c67b9b9b849991528e22c271b01ddc803a9ec70.png"/><Relationship Id="rId51" Type="http://schemas.openxmlformats.org/officeDocument/2006/relationships/image" Target="media/97b0bd588751105a3ba3408af28bd661371c2cab.png"/><Relationship Id="rId52" Type="http://schemas.openxmlformats.org/officeDocument/2006/relationships/image" Target="media/e4a7fb9b28043be6fe5906bfc7410867b5643b6e.png"/><Relationship Id="rId53" Type="http://schemas.openxmlformats.org/officeDocument/2006/relationships/image" Target="media/08aa2bee4944775c49d6a140f4cb4ed023f75222.png"/><Relationship Id="rId54" Type="http://schemas.openxmlformats.org/officeDocument/2006/relationships/image" Target="media/0868765e8071fa698c2c3156433ba5f8f2c6c8ae.png"/><Relationship Id="rId55" Type="http://schemas.openxmlformats.org/officeDocument/2006/relationships/image" Target="media/a02df79fd5d386afb2f97d0858977bd5db4dd2f7.png"/><Relationship Id="rId56" Type="http://schemas.openxmlformats.org/officeDocument/2006/relationships/image" Target="media/e731d9ad44435ce3ec920d9faa7b8ebfbbc2fa25.png"/><Relationship Id="rId57" Type="http://schemas.openxmlformats.org/officeDocument/2006/relationships/image" Target="media/119f20685d2a8a214265e3aaf7cfda5ed57e602c.png"/><Relationship Id="rId58" Type="http://schemas.openxmlformats.org/officeDocument/2006/relationships/image" Target="media/becbe3070f7067d42ae04b7ef544df15a6981d4b.png"/><Relationship Id="rId59" Type="http://schemas.openxmlformats.org/officeDocument/2006/relationships/image" Target="media/915c42618d6e1d9e8e625efcab7afbdcfe34d920.png"/><Relationship Id="rId60" Type="http://schemas.openxmlformats.org/officeDocument/2006/relationships/image" Target="media/6b5100dd0d208edd6a179dea74e3e04afa5d2350.png"/><Relationship Id="rId61" Type="http://schemas.openxmlformats.org/officeDocument/2006/relationships/image" Target="media/57dbecfdd1b528d1d6a20b8991c2f50106eefbf1.png"/><Relationship Id="rId62" Type="http://schemas.openxmlformats.org/officeDocument/2006/relationships/image" Target="media/489b3f4163f05bbe6c2de5742ae31e660a30cfb1.png"/><Relationship Id="rId63" Type="http://schemas.openxmlformats.org/officeDocument/2006/relationships/image" Target="media/7b7f607d1a6832468047b14d06fe94b75e315994.png"/><Relationship Id="rId64" Type="http://schemas.openxmlformats.org/officeDocument/2006/relationships/image" Target="media/81576ec91a29d20cf16e33ffb02c353facd2d73b.png"/><Relationship Id="rId65" Type="http://schemas.openxmlformats.org/officeDocument/2006/relationships/image" Target="media/21b0a749aa9c15772a938b7825278473343d246d.png"/><Relationship Id="rId66" Type="http://schemas.openxmlformats.org/officeDocument/2006/relationships/image" Target="media/9aaeae6f803a1c9813f7436c5f44f526ab9922a7.png"/><Relationship Id="rId67" Type="http://schemas.openxmlformats.org/officeDocument/2006/relationships/image" Target="media/c1935c015235d4fbca7cedcadd23b6504a0c6415.png"/><Relationship Id="rId68" Type="http://schemas.openxmlformats.org/officeDocument/2006/relationships/image" Target="media/05100a2ad7797eb1aff401ff839ee76ccf2f2b16.png"/><Relationship Id="rId69" Type="http://schemas.openxmlformats.org/officeDocument/2006/relationships/image" Target="media/2011088129d703d364856e452ebd2570372fcecc.png"/><Relationship Id="rId70" Type="http://schemas.openxmlformats.org/officeDocument/2006/relationships/image" Target="media/1fa1ab21d10fdfa68d4512c1877020aa7b56bbdc.png"/><Relationship Id="rId71" Type="http://schemas.openxmlformats.org/officeDocument/2006/relationships/image" Target="media/0c79676ebcb54339e796938839119412fdbbe252.png"/><Relationship Id="rId72" Type="http://schemas.openxmlformats.org/officeDocument/2006/relationships/image" Target="media/3dd7a4314a7523fabadf83cd36dcce33b09bb999.png"/><Relationship Id="rId73" Type="http://schemas.openxmlformats.org/officeDocument/2006/relationships/image" Target="media/67e0115ec359ff6ecadf91b40fdf69b7bcf7080d.png"/><Relationship Id="rId74" Type="http://schemas.openxmlformats.org/officeDocument/2006/relationships/image" Target="media/36e6ef1f292b4a622939f042ea19aec82064e946.png"/><Relationship Id="rId75" Type="http://schemas.openxmlformats.org/officeDocument/2006/relationships/image" Target="media/30ce62c41cfc01462b0fec8a008414470d36f040.png"/><Relationship Id="rId76" Type="http://schemas.openxmlformats.org/officeDocument/2006/relationships/image" Target="media/55e31d86c5eca2d6b7254ec99c719e1089259af4.png"/><Relationship Id="rId77" Type="http://schemas.openxmlformats.org/officeDocument/2006/relationships/image" Target="media/522811288f75067fcf41f71bd03b86a3e8fd3368.png"/><Relationship Id="rId78" Type="http://schemas.openxmlformats.org/officeDocument/2006/relationships/image" Target="media/218a33cbf6f74a66d0a3968841dc1265f1929761.png"/><Relationship Id="rId79" Type="http://schemas.openxmlformats.org/officeDocument/2006/relationships/image" Target="media/f368626caf1d5762dbe5180a39c62f34b0c62436.png"/><Relationship Id="rId80" Type="http://schemas.openxmlformats.org/officeDocument/2006/relationships/image" Target="media/65d9bb9a872605a144a5c3fdfc80dad1f12a6d7c.png"/><Relationship Id="rId81" Type="http://schemas.openxmlformats.org/officeDocument/2006/relationships/image" Target="media/5e00c0bc4e8a1895ff139bc62972c503b5a9594f.png"/><Relationship Id="rId82" Type="http://schemas.openxmlformats.org/officeDocument/2006/relationships/image" Target="media/99352ece3204cac5913d39a0573a97c7dcd6d3f2.png"/><Relationship Id="rId83" Type="http://schemas.openxmlformats.org/officeDocument/2006/relationships/image" Target="media/6adcf2d871ce6cae1d44bba05b5438505cbf51a7.png"/><Relationship Id="rId84" Type="http://schemas.openxmlformats.org/officeDocument/2006/relationships/image" Target="media/9d77003a5d3a08b9c98594afc1cc6f4b2c4d3cdf.png"/><Relationship Id="rId85" Type="http://schemas.openxmlformats.org/officeDocument/2006/relationships/image" Target="media/9bd395d14f623f2f6c4cda0cb374c4df7efb772d.png"/><Relationship Id="rId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Integral v3 — Máxima Presión de Exportación (QA DOCX/PPTX)</dc:title>
  <dc:creator>Beemetry Mining Platform</dc:creator>
  <cp:lastModifiedBy>Un-named</cp:lastModifiedBy>
  <cp:revision>1</cp:revision>
  <dcterms:created xsi:type="dcterms:W3CDTF">2026-08-30T14:34:39.098Z</dcterms:created>
  <dcterms:modified xsi:type="dcterms:W3CDTF">2026-08-30T14:34:39.098Z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emetry_SourceDocument_Count">
    <vt:lpwstr>2</vt:lpwstr>
  </property>
  <property fmtid="{D5CDD505-2E9C-101B-9397-08002B2CF9AE}" pid="3" name="Beemetry_SourceDocument_1">
    <vt:lpwstr>{"meta":{"title":"Informe Técnico Integral v3 — Máxima Presión de Exportación (QA DOCX/PPTX)","author":"QA Verificación Export DOCX/PPTX v3","version":9,"paperSize":"A4","updatedAt":"2026-08-30T14:33:48.156Z","layoutMode":"document","orientation":"portrait"},"pages":[{"elements":[{"x":0,"y":0,"id":"cover-1788100314396-1","type":"cover","props":{"date":"2026-08-30","title":"Informe Técnico Integral v3 — Máxima Presión de Exportación (QA DOCX/PPTX)","bgColor":"","docCode":"ITAM-2026-ALP-003","textColor":"","coverTemplate":"technical","classification":"CONFIDENCIAL"},"width":793.700787411,"border":{"color":"#a9b8d3","style":"solid","width":1,"enabled":false},"height":1122.5196850527,"locked":true,"zIndex":0}],"page_number":1},{"elements":[{"x":36,"y":10,"id":"header-2","type":"header","props":{"showLogo":true,"tenantId":""},"width":721.700787411,"height":40,"locked":true,"zIndex":0},{"x":36,"y":1080.5196850527,"id":"footer-2","type":"footer","props":{"showPageNumber":true},"width":721.700787411,"height":30,"locked":true,"zIndex":1},{"x":36,"y":72,"id":"toc-1788100314396-2","type":"toc","props":{"title":"Tabla de Contenidos","autoGenerate":true},"width":721.700787411,"border":{"color":"#a9b8d3","style":"solid","width":1,"enabled":true},"height":988.5196850527,"locked":false,"zIndex":5}],"page_number":2},{"elements":[{"x":36,"y":10,"id":"header-3","type":"header","props":{"showLogo":true,"tenantId":""},"width":721.700787411,"height":40,"locked":true,"zIndex":0},{"x":36,"y":1080.5196850527,"id":"footer-3","type":"footer","props":{"showPageNumber":true},"width":721.700787411,"height":30,"locked":true,"zIndex":1},{"x":36,"y":72,"id":"text-h1-1788100314396-4","type":"text","props":{"bold":true,"text":"1. Jerarquía de Encabezados y Formato Enriquecido","spans":[],"italic":false,"fontSize":22,"fontColor":"#1e293b","textAlign":"left","underline":false,"fontFamily":"Calibri","lineHeight":1.3,"headingStyle":"h1","backgroundColor":"#ffffff"},"width":721.700787411,"height":40,"locked":false,"zIndex":10},{"x":36,"y":118,"id":"text-p-1788100314396-5","type":"text","props":{"bold":false,"text":"Este parrafo combina VARIOS estilos dentro del MISMO bloque de texto: negrita, cursiva, subrayado, color y resaltado, todo en una sola oracion continua.","spans":[{"end":27,"bold":true,"start":21},{"end":59,"color":"#1d4ed8","start":47,"italic":true},{"end":116,"start":70,"underline":true},{"end":116,"bold":true,"color":"#b91c1c","start":107,"highlightColor":"yellow"}],"italic":false,"fontSize":12,"fontColor":"#1e293b","textAlign":"left","underline":false,"fontFamily":"Arial","lineHeight":1.4,"headingStyle":null,"backgroundColor":"#ffffff"},"width":721.700787411,"height":60,"locked":false,"zIndex":10},{"x":36,"y":188,"id":"text-h2-1788100314396-6","type":"text","props":{"bold":true,"text":"1.1 Encabezado Nivel 2","spans":[],"italic":false,"fontSize":18,"fontColor":"#1e40af","textAlign":"left","underline":false,"fontFamily":"Calibri","lineHeight":1.3,"headingStyle":"h2","backgroundColor":"#ffffff"},"width":721.700787411,"height":24,"locked":false,"zIndex":10},{"x":36,"y":218,"id":"text-h3-1788100314396-7","type":"text","props":{"bold":true,"text":"1.1.1 Encabezado Nivel 3","spans":[],"italic":false,"fontSize":15,"fontColor":"#334155","textAlign":"left","underline":false,"fontFamily":"Calibri","lineHeight":1.3,"headingStyle":"h3","backgroundColor":"#ffffff"},"width":721.700787411,"height":24,"locked":false,"zIndex":10},{"x":36,"y":248,"id":"text-h4-1788100314396-8","type":"text","props":{"bold":true,"text":"1.1.1.1 Encabezado Nivel 4","spans":[],"italic":false,"fontSize":13,"fontColor":"#475569","textAlign":"left","underline":false,"fontFamily":"Calibri","lineHeight":1.3,"headingStyle":"h4","backgroundColor":"#ffffff"},"width":721.700787411,"height":24,"locked":false,"zIndex":10},{"x":36,"y":278,"id":"text-h5-1788100314396-9","type":"text","props":{"bold":true,"text":"1.1.1.1.1 Encabezado Nivel 5","spans":[],"italic":true,"fontSize":12,"fontColor":"#64748b","textAlign":"left","underline":false,"fontFamily":"Calibri","lineHeight":1.3,"headingStyle":"h5","backgroundColor":"#ffffff"},"width":721.700787411,"height":24,"locked":false,"zIndex":10},{"x":36,"y":308,"id":"text-h6-1788100314396-10","type":"text","props":{"bold":true,"text":"1.1.1.1.1.1 Encabezado Nivel 6","spans":[],"italic":true,"fontSize":11,"fontColor":"#94a3b8","textAlign":"left","underline":false,"fontFamily":"Calibri","lineHeight":1.3,"headingStyle":"h6","backgroundColor":"#ffffff"},"width":721.700787411,"height":24,"locked":false,"zIndex":10},{"x":36,"y":344,"id":"text-p-1788100314396-11","type":"text","props":{"bold":false,"text":"Los seis niveles de encabezado usan estilos con nombre reales de Word (Heading1..6) -- el índice de la página 2 debe listar y navegar correctamente los seis.","spans":[],"italic":false,"fontSize":12,"fontColor":"#1e293b","textAlign":"left","underline":false,"fontFamily":"Arial","lineHeight":1.4,"headingStyle":null,"backgroundColor":"#ffffff"},"width":721.700787411,"height":44,"locked":false,"zIndex":10},{"x":36,"y":408,"id":"text-p-1788100314396-12","type":"text","props":{"bold":false,"text":"“La disponibilidad del sistema se mantuvo sobre el 95% durante todo el periodo evaluado, cumpliendo la meta operativa establecida por el comité técnico.” — cita textual del informe de gerencia de operaciones, incluida aquí como bloque de estilo Cita (blockquote).","spans":[],"italic":true,"fontSize":12,"fontColor":"#64748b","textAlign":"left","underline":false,"fontFamily":"Arial","lineHeight":1.4,"headingStyle":"quote","backgroundColor":"#f8fafc"},"width":721.700787411,"height":60,"locked":false,"zIndex":10},{"x":36,"y":492,"id":"text-p-1788100314396-13","type":"text","props":{"bold":false,"text":"Ver el detalle completo en la sección de Conclusiones →","spans":[{"end":55,"ref":{"targetId":"text-h1-1788100314396-3"},"start":54}],"italic":false,"fontSize":12,"fontColor":"#1e293b","textAlign":"left","underline":false,"fontFamily":"Arial","lineHeight":1.4,"headingStyle":null,"backgroundColor":"#ffffff"},"width":721.700787411,"height":30,"locked":false,"zIndex":10},{"x":36,"y":542,"id":"text-h2-1788100314396-14","type":"text","props":{"bold":true,"text":"1.2 Tabla con lista HTML anidada en celda","spans":[],"italic":false,"fontSize":18,"fontColor":"#1e40af","textAlign":"left","underline":false,"fontFamily":"Calibri","lineHeight":1.3,"headingStyle":"h2","backgroundColor":"#ffffff"},"width":721.700787411,"height":28,"locked":false,"zIndex":10},{"x":36,"y":576,"id":"table-1788100314396-15","type":"table","props":{"rows":[["Fase","Actividades","Responsable"],["Preparación","&lt;ul&gt;&lt;li&gt;Calibración de sensores&lt;/li&gt;&lt;li&gt;Verificación de enlaces&lt;/li&gt;&lt;li&gt;Respaldo de datos previos&lt;/li&gt;&lt;/ul&gt;","&lt;b&gt;Equipo Geomecánica&lt;/b&gt;"],["Ejecución","&lt;ol&gt;&lt;li&gt;Lectura automática cada 15 min&lt;/li&gt;&lt;li&gt;Validación cruzada IGP&lt;/li&gt;&lt;li&gt;Generación de alertas&lt;/li&gt;&lt;/ol&gt;","&lt;i&gt;Equipo Instrumentación&lt;/i&gt;"]],"title":"","fontSize":12,"headerBg":"#17365D","bandColor":"#F5F8FA","cellAlign":"left","hasHeader":true,"bandedRows":true,"headerBold":true,"borderColor":"#94a3b8","borderStyle":"solid","borderWidth":1,"cellPadding":8,"headerTextColor":"#FFFFFF","colWidths":[237,237,237]},"width":721.700787411,"border":{"color":"#a9b8d3","style":"solid","width":1,"enabled":true},"height":200,"locked":false,"zIndex":10,"wrapMode":"square"}],"page_number":3},{"elements":[{"x":36,"y":10,"id":"header-4","type":"header","props":{"showLogo":true,"tenantId":""},"width":721.700787411,"height":40,"locked":true,"zIndex":0},{"x":36,"y":1080.5196850527,"id":"footer-4","type":"footer","props":{"showPageNumber":true},"width":721.700787411,"height":30,"locked":true,"zIndex":1},{"x":36,"y":72,"id":"text-h1-1788100314396-16","type":"text","props":{"bold":true,"text":"2. Catálogo Individual de Tipos de Gráfico (19 modelos)","spans":[],"italic":false,"fontSize":22,"fontColor":"#1e293b","textAlign":"left","underline":false,"fontFamily":"Calibri","lineHeight":1.3,"headingStyle":"h1","backgroundColor":"#ffffff"},"width":721.700787411,"height":40,"locked":false,"zIndex":10},{"x":36,"y":112,"id":"smc-1788100314396-17","type":"sensor_multi_chart","props":{"to":"2026-08-29T23:59:59.000Z","from":"2026-08-01T00:00:00.000Z","title":"Líneas","chartType":"line","chartTypes":["line"],"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x":403.8503937055,"y":112,"id":"smc-1788100314396-18","type":"sensor_multi_chart","props":{"to":"2026-08-29T23:59:59.000Z","from":"2026-08-01T00:00:00.000Z","title":"Columnas","chartType":"bar","chartTypes":["bar"],"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x":36,"y":356,"id":"smc-1788100314396-19","type":"sensor_multi_chart","props":{"to":"2026-08-29T23:59:59.000Z","from":"2026-08-01T00:00:00.000Z","title":"Barras","chartType":"barh","chartTypes":["barh"],"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x":403.8503937055,"y":356,"id":"smc-1788100314396-20","type":"sensor_multi_chart","props":{"to":"2026-08-29T23:59:59.000Z","from":"2026-08-01T00:00:00.000Z","title":"Combinado","chartType":"combo","chartTypes":["combo"],"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x":36,"y":600,"id":"smc-1788100314396-21","type":"sensor_multi_chart","props":{"to":"2026-08-29T23:59:59.000Z","from":"2026-08-01T00:00:00.000Z","title":"Áreas","chartType":"area","chartTypes":["area"],"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x":403.8503937055,"y":600,"id":"smc-1788100314396-22","type":"sensor_multi_chart","props":{"to":"2026-08-29T23:59:59.000Z","from":"2026-08-01T00:00:00.000Z","title":"Dispersión (XY)","chartType":"scatter","chartTypes":["scatter"],"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page_number":4},{"elements":[{"x":36,"y":10,"id":"header-5","type":"header","props":{"showLogo":true,"tenantId":""},"width":721.700787411,"height":40,"locked":true,"zIndex":0},{"x":36,"y":1080.5196850527,"id":"footer-5","type":"footer","props":{"showPageNumber":true},"width":721.700787411,"height":30,"locked":true,"zIndex":1},{"x":36,"y":72,"id":"text-h2-1788100314396-23","type":"text","props":{"bold":true,"text":"2.2 Modelos adicionales","spans":[],"italic":false,"fontSize":18,"fontColor":"#1e40af","textAlign":"left","underline":false,"fontFamily":"Calibri","lineHeight":1.3,"headingStyle":"h2","backgroundColor":"#ffffff"},"width":721.700787411,"height":30,"locked":false,"zIndex":10},{"x":36,"y":108,"id":"smc-1788100314396-24","type":"sensor_multi_chart","props":{"to":"2026-08-29T23:59:59.000Z","from":"2026-08-01T00:00:00.000Z","title":"Escalón","chartType":"step","chartTypes":["step"],"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x":403.8503937055,"y":108,"id":"smc-1788100314396-25","type":"sensor_multi_chart","props":{"to":"2026-08-29T23:59:59.000Z","from":"2026-08-01T00:00:00.000Z","title":"Radial","chartType":"radar","chartTypes":["radar"],"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x":36,"y":352,"id":"smc-1788100314396-26","type":"sensor_multi_chart","props":{"to":"2026-08-29T23:59:59.000Z","from":"2026-08-01T00:00:00.000Z","title":"Circular","chartType":"pie","chartTypes":["pie"],"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x":403.8503937055,"y":352,"id":"smc-1788100314396-27","type":"sensor_multi_chart","props":{"to":"2026-08-29T23:59:59.000Z","from":"2026-08-01T00:00:00.000Z","title":"Anillo","chartType":"donut","chartTypes":["donut"],"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x":36,"y":596,"id":"smc-1788100314396-28","type":"sensor_multi_chart","props":{"to":"2026-08-29T23:59:59.000Z","from":"2026-08-01T00:00:00.000Z","title":"Mapa de calor","chartType":"heatmap","chartTypes":["heatmap"],"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x":403.8503937055,"y":596,"id":"smc-1788100314396-29","type":"sensor_multi_chart","props":{"to":"2026-08-29T23:59:59.000Z","from":"2026-08-01T00:00:00.000Z","title":"Cajas y bigotes","chartType":"boxplot","chartTypes":["boxplot"],"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page_number":5},{"elements":[{"x":36,"y":10,"id":"header-6","type":"header","props":{"showLogo":true,"tenantId":""},"width":721.700787411,"height":40,"locked":true,"zIndex":0},{"x":36,"y":1080.5196850527,"id":"footer-6","type":"footer","props":{"showPageNumber":true},"width":721.700787411,"height":30,"locked":true,"zIndex":1},{"x":36,"y":72,"id":"text-h2-1788100314396-30","type":"text","props":{"bold":true,"text":"2.3 Modelos adicionales","spans":[],"italic":false,"fontSize":18,"fontColor":"#1e40af","textAlign":"left","underline":false,"fontFamily":"Calibri","lineHeight":1.3,"headingStyle":"h2","backgroundColor":"#ffffff"},"width":721.700787411,"height":30,"locked":false,"zIndex":10},{"x":36,"y":108,"id":"smc-1788100314396-31","type":"sensor_multi_chart","props":{"to":"2026-08-29T23:59:59.000Z","from":"2026-08-01T00:00:00.000Z","title":"Cotizaciones","chartType":"candlestick","chartTypes":["candlestick"],"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x":403.8503937055,"y":108,"id":"smc-1788100314396-32","type":"sensor_multi_chart","props":{"to":"2026-08-29T23:59:59.000Z","from":"2026-08-01T00:00:00.000Z","title":"Rectángulos","chartType":"treemap","chartTypes":["treemap"],"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x":36,"y":352,"id":"smc-1788100314396-33","type":"sensor_multi_chart","props":{"to":"2026-08-29T23:59:59.000Z","from":"2026-08-01T00:00:00.000Z","title":"Proyección solar","chartType":"sunburst","chartTypes":["sunburst"],"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x":403.8503937055,"y":352,"id":"smc-1788100314396-34","type":"sensor_multi_chart","props":{"to":"2026-08-29T23:59:59.000Z","from":"2026-08-01T00:00:00.000Z","title":"Histograma","chartType":"histogram","chartTypes":["histogram"],"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x":36,"y":596,"id":"smc-1788100314396-35","type":"sensor_multi_chart","props":{"to":"2026-08-29T23:59:59.000Z","from":"2026-08-01T00:00:00.000Z","title":"Cascada","chartType":"waterfall","chartTypes":["waterfall"],"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x":403.8503937055,"y":596,"id":"smc-1788100314396-36","type":"sensor_multi_chart","props":{"to":"2026-08-29T23:59:59.000Z","from":"2026-08-01T00:00:00.000Z","title":"Embudo","chartType":"funnel","chartTypes":["funnel"],"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page_number":6},{"elements":[{"x":36,"y":10,"id":"header-7","type":"header","props":{"showLogo":true,"tenantId":""},"width":721.700787411,"height":40,"locked":true,"zIndex":0},{"x":36,"y":1080.5196850527,"id":"footer-7","type":"footer","props":{"showPageNumber":true},"width":721.700787411,"height":30,"locked":true,"zIndex":1},{"x":36,"y":72,"id":"text-h2-1788100314396-37","type":"text","props":{"bold":true,"text":"2.4 Modelos adicionales","spans":[],"italic":false,"fontSize":18,"fontColor":"#1e40af","textAlign":"left","underline":false,"fontFamily":"Calibri","lineHeight":1.3,"headingStyle":"h2","backgroundColor":"#ffffff"},"width":721.700787411,"height":30,"locked":false,"zIndex":10},{"x":36,"y":108,"id":"smc-1788100314396-38","type":"sensor_multi_chart","props":{"to":"2026-08-29T23:59:59.000Z","from":"2026-08-01T00:00:00.000Z","title":"Mapa","chartType":"geomap","chartTypes":["geomap"],"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x":403.8503937055,"y":108,"id":"smc-1788100314396-39","type":"sensor_multi_chart","props":{"to":"2026-08-29T23:59:59.000Z","from":"2026-08-01T00:00:00.000Z","title":"Superficie (3D)","chartType":"surface","chartTypes":["surface"],"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260,"locked":false,"zIndex":10,"wrapMode":"square"}],"page_number":7},{"elements":[{"x":36,"y":10,"id":"header-8","type":"header","props":{"showLogo":true,"tenantId":""},"width":721.700787411,"height":40,"locked":true,"zIndex":0},{"x":36,"y":1080.5196850527,"id":"footer-8","type":"footer","props":{"showPageNumber":true},"width":721.700787411,"height":30,"locked":true,"zIndex":1},{"x":36,"y":72,"id":"text-h1-1788100314396-40","type":"text","props":{"bold":true,"text":"3. Dashboards de Sensores — Prueba de Escala (multi-panel)","spans":[],"italic":false,"fontSize":22,"fontColor":"#1e293b","textAlign":"left","underline":false,"fontFamily":"Calibri","lineHeight":1.3,"headingStyle":"h1","backgroundColor":"#ffffff"},"width":721.700787411,"height":40,"locked":false,"zIndex":10},{"x":36,"y":112,"id":"smc-1788100314396-41","type":"sensor_multi_chart","props":{"to":"2026-08-29T23:59:59.000Z","from":"2026-08-01T00:00:00.000Z","title":"Líneas + Columnas + Áreas","chartType":"line","chartTypes":["line","bar","area"],"selections":[{"code":"ACEL-03","name":"ACEL-03","unit":"g","zoneId":null,"sensorId":"55c4b8f0-8f95-4e07-8060-7c04b878084f","zoneName":"","deviceKey":"ACEL-03"},{"code":"ACEL-01","name":"ACEL-01","unit":"g","zoneId":null,"sensorId":"3d8e7486-8af1-48ef-a47d-e6bb5932dc91","zoneName":"","deviceKey":"ACEL-01"}],"sensorType":"accelerograph"},"width":353.8503937055,"border":{"color":"#a9b8d3","style":"solid","width":1,"enabled":true},"height":728,"locked":false,"zIndex":10,"wrapMode":"square"},{"x":403.8503937055,"y":112,"id":"smc-1788100314396-42","type":"sensor_multi_chart","props":{"to":"2026-08-29T23:59:59.000Z","from":"2026-08-01T00:00:00.000Z","title":"Líneas + Combinado + Dispersión (XY)","chartType":"line","chartTypes":["line","combo","scatter"],"selections":[{"code":"PZ-VW-09","name":"PZ-VW-09","unit":"kPa","zoneId":null,"sensorId":"c20b7bc2-2090-4496-b45e-37703fcf8b02","zoneName":"","deviceKey":"PZ-VW-09"},{"code":"PZ-VW-10","name":"PZ-VW-10","unit":"kPa","zoneId":null,"sensorId":"f34e62ca-caa1-4456-8fba-21e80fb45787","zoneName":"","deviceKey":"PZ-VW-10"}],"sensorType":"piezometer_vw"},"width":353.8503937055,"border":{"color":"#a9b8d3","style":"solid","width":1,"enabled":true},"height":728,"locked":false,"zIndex":10,"wrapMode":"square"},{"x":36,"y":428,"id":"smc-1788100314396-43","type":"sensor_multi_chart","props":{"to":"2026-08-29T23:59:59.000Z","from":"2026-08-01T00:00:00.000Z","title":"Líneas + Escalón + Áreas + Columnas","chartType":"line","chartTypes":["line","step","area","bar"],"selections":[{"code":"INCL-07","name":"INCL-07","unit":"mm","zoneId":null,"sensorId":"60bcefb9-1639-4809-b453-6e38108da4c6","zoneName":"","deviceKey":"INCL-07"},{"code":"INCL-08","name":"INCL-08","unit":"mm","zoneId":null,"sensorId":"868760c4-4beb-41f6-a78d-544355cca9e3","zoneName":"","deviceKey":"INCL-08"}],"sensorType":"inclinometer"},"width":353.8503937055,"border":{"color":"#a9b8d3","style":"solid","width":1,"enabled":true},"height":956,"locked":false,"zIndex":10,"wrapMode":"square"},{"x":403.8503937055,"y":428,"id":"smc-1788100314396-44","type":"sensor_multi_chart","props":{"to":"2026-08-29T23:59:59.000Z","from":"2026-08-01T00:00:00.000Z","title":"Columnas + Radial + Circular","chartType":"bar","chartTypes":["bar","radar","pie"],"selections":[{"code":"EXT-05","name":"EXT-05","unit":"mm","zoneId":null,"sensorId":"bdf95aed-f604-4957-8a1c-4b293dd61e60","zoneName":"","deviceKey":"EXT-05"},{"code":"EXT-06","name":"EXT-06","unit":"mm","zoneId":null,"sensorId":"255d6aa5-3ea1-4ca2-bb6b-8e492cc36265","zoneName":"","deviceKey":"EXT-06"}],"sensorType":"extensometer"},"width":353.8503937055,"border":{"color":"#a9b8d3","style":"solid","width":1,"enabled":true},"height":728,"locked":false,"zIndex":10,"wrapMode":"square"}],"page_number":8},{"elements":[{"x":36,"y":10,"id":"header-9","type":"header","props":{"showLogo":true,"tenantId":""},"width":721.700787411,"height":40,"locked":true,"zIndex":0},{"x":36,"y":1080.5196850527,"id":"footer-9","type":"footer","props":{"showPageNumber":true},"width":721.700787411,"height":30,"locked":true,"zIndex":1},{"x":36,"y":72,"id":"text-h2-1788100314396-45","type":"text","props":{"bold":true,"text":"3.2 Dashboards adicionales","spans":[],"italic":false,"fontSize":18,"fontColor":"#1e40af","textAlign":"left","underline":false,"fontFamily":"Calibri","lineHeight":1.3,"headingStyle":"h2","backgroundColor":"#ffffff"},"width":721.700787411,"height":30,"locked":false,"zIndex":10},{"x":36,"y":108,"id":"smc-1788100314396-46","type":"sensor_multi_chart","props":{"to":"2026-08-29T23:59:59.000Z","from":"2026-08-01T00:00:00.000Z","title":"Líneas + Anillo","chartType":"line","chartTypes":["line","donut"],"selections":[{"code":"RADAR-01","name":"RADAR-01","unit":"mm/dia","zoneId":null,"sensorId":"be5891cb-3ac0-421f-943e-fca81e5598ea","zoneName":"","deviceKey":"RADAR-01"},{"code":"RADAR-02","name":"RADAR-02","unit":"mm/dia","zoneId":null,"sensorId":"3f7bb962-aa7e-42b1-bb9a-2645220d7b9a","zoneName":"","deviceKey":"RADAR-02"}],"sensorType":"radar_displacement"},"width":353.8503937055,"border":{"color":"#a9b8d3","style":"solid","width":1,"enabled":true},"height":500,"locked":false,"zIndex":10,"wrapMode":"square"},{"x":403.8503937055,"y":108,"id":"smc-1788100314396-47","type":"sensor_multi_chart","props":{"to":"2026-08-29T23:59:59.000Z","from":"2026-08-01T00:00:00.000Z","title":"Líneas + Columnas + Cajas y bigotes","chartType":"line","chartTypes":["line","b</vt:lpwstr>
  </property>
  <property fmtid="{D5CDD505-2E9C-101B-9397-08002B2CF9AE}" pid="4" name="Beemetry_SourceDocument_2">
    <vt:lpwstr>ar","boxplot"],"selections":[{"code":"EM-01-TEMP","name":"EM-01-TEMP","unit":"°C","zoneId":null,"sensorId":"021a3372-31ec-45ff-a6c2-e354f0b14dd7","zoneName":"","deviceKey":"EM-01-TEMP"},{"code":"EM-02-TEMP","name":"EM-02-TEMP","unit":"°C","zoneId":null,"sensorId":"36b06a01-a4bb-4bb9-98cb-5223c77fcb3e","zoneName":"","deviceKey":"EM-02-TEMP"}],"sensorType":"temperature"},"width":353.8503937055,"border":{"color":"#a9b8d3","style":"solid","width":1,"enabled":true},"height":728,"locked":false,"zIndex":10,"wrapMode":"square"},{"x":36,"y":424,"id":"smc-1788100314396-48","type":"sensor_multi_chart","props":{"to":"2026-08-29T23:59:59.000Z","from":"2026-08-01T00:00:00.000Z","title":"Líneas + Áreas","chartType":"line","chartTypes":["line","area"],"selections":[{"code":"EM-01-HUM","name":"EM-01-HUM","unit":"%","zoneId":null,"sensorId":"58711def-4397-4385-b528-66b8fd67c545","zoneName":"","deviceKey":"EM-01-HUM"},{"code":"EM-04-HUM","name":"EM-04-HUM","unit":"%","zoneId":null,"sensorId":"de044fd3-d0a6-4013-a15e-57c7252bfda2","zoneName":"","deviceKey":"EM-04-HUM"}],"sensorType":"humidity"},"width":353.8503937055,"border":{"color":"#a9b8d3","style":"solid","width":1,"enabled":true},"height":500,"locked":false,"zIndex":10,"wrapMode":"square"},{"x":403.8503937055,"y":424,"id":"smc-1788100314396-49","type":"sensor_multi_chart","props":{"to":"2026-08-29T23:59:59.000Z","from":"2026-08-01T00:00:00.000Z","title":"Columnas + Dispersión (XY) + Cascada","chartType":"bar","chartTypes":["bar","scatter","waterfall"],"selections":[{"code":"SISM-01","name":"SISM-01","unit":"Hz","zoneId":null,"sensorId":"81e88124-5a53-4c19-8b24-e33f1b854a37","zoneName":"","deviceKey":"SISM-01"},{"code":"SISM-02","name":"SISM-02","unit":"Hz","zoneId":null,"sensorId":"60bbcec7-38ce-4d01-a1a2-8e5c617ebae7","zoneName":"","deviceKey":"SISM-02"}],"sensorType":"seismograph"},"width":353.8503937055,"border":{"color":"#a9b8d3","style":"solid","width":1,"enabled":true},"height":728,"locked":false,"zIndex":10,"wrapMode":"square"}],"page_number":9},{"elements":[{"x":36,"y":10,"id":"header-10","type":"header","props":{"showLogo":true,"tenantId":""},"width":721.700787411,"height":40,"locked":true,"zIndex":0},{"x":36,"y":1080.5196850527,"id":"footer-10","type":"footer","props":{"showPageNumber":true},"width":721.700787411,"height":30,"locked":true,"zIndex":1},{"x":36,"y":72,"id":"text-h2-1788100314396-50","type":"text","props":{"bold":true,"text":"3.3 Dashboards adicionales","spans":[],"italic":false,"fontSize":18,"fontColor":"#1e40af","textAlign":"left","underline":false,"fontFamily":"Calibri","lineHeight":1.3,"headingStyle":"h2","backgroundColor":"#ffffff"},"width":721.700787411,"height":30,"locked":false,"zIndex":10},{"x":36,"y":108,"id":"smc-1788100314396-51","type":"sensor_multi_chart","props":{"to":"2026-08-29T23:59:59.000Z","from":"2026-08-01T00:00:00.000Z","title":"Líneas + Radial + Embudo","chartType":"line","chartTypes":["line","radar","funnel"],"selections":[{"code":"CRACK-02","name":"CRACK-02","unit":"mm","zoneId":null,"sensorId":"650c9bf7-3550-490f-a585-7ef62d17a52c","zoneName":"","deviceKey":"CRACK-02"},{"code":"GRIETA-01","name":"GRIETA-01","unit":"mm","zoneId":null,"sensorId":"423b5151-1127-4278-9174-191ae9b8adfb","zoneName":"","deviceKey":"GRIETA-01"}],"sensorType":"crack_sensor"},"width":353.8503937055,"border":{"color":"#a9b8d3","style":"solid","width":1,"enabled":true},"height":728,"locked":false,"zIndex":10,"wrapMode":"square"},{"x":403.8503937055,"y":108,"id":"smc-1788100314396-52","type":"sensor_multi_chart","props":{"to":"2026-08-29T23:59:59.000Z","from":"2026-08-01T00:00:00.000Z","title":"Líneas + Escalón","chartType":"line","chartTypes":["line","step"],"selections":[{"code":"TILT-02","name":"TILT-02","unit":"deg","zoneId":null,"sensorId":"66809e1a-add7-47a2-8028-42466db14017","zoneName":"","deviceKey":"TILT-02"},{"code":"TILT-01","name":"TILT-01","unit":"deg","zoneId":null,"sensorId":"6e4a6cc4-fc62-46ca-8c8f-16a3059ad00c","zoneName":"","deviceKey":"TILT-01"}],"sensorType":"tiltmeter"},"width":353.8503937055,"border":{"color":"#a9b8d3","style":"solid","width":1,"enabled":true},"height":500,"locked":false,"zIndex":10,"wrapMode":"square"},{"x":36,"y":424,"id":"smc-1788100314396-53","type":"sensor_multi_chart","props":{"to":"2026-08-29T23:59:59.000Z","from":"2026-08-01T00:00:00.000Z","title":"Columnas + Rectángulos + Líneas","chartType":"bar","chartTypes":["bar","treemap","line"],"selections":[{"code":"CELDA-AS-01","name":"CELDA-AS-01","unit":"mm","zoneId":null,"sensorId":"aa61998d-637e-4977-81a3-ec2e2ed8360f","zoneName":"","deviceKey":"CELDA-AS-01"},{"code":"CELDA-AS-02","name":"CELDA-AS-02","unit":"mm","zoneId":null,"sensorId":"e7e7cc69-15e8-4c2c-a418-5d859cfc1d2a","zoneName":"","deviceKey":"CELDA-AS-02"}],"sensorType":"settlement_cell"},"width":353.8503937055,"border":{"color":"#a9b8d3","style":"solid","width":1,"enabled":true},"height":728,"locked":false,"zIndex":10,"wrapMode":"square"},{"x":403.8503937055,"y":424,"id":"smc-1788100314396-54","type":"sensor_multi_chart","props":{"to":"2026-08-29T23:59:59.000Z","from":"2026-08-01T00:00:00.000Z","title":"Líneas + Combinado + Circular + Anillo","chartType":"line","chartTypes":["line","combo","pie","donut"],"selections":[{"code":"GNSS-01","name":"GNSS-01","unit":"mm","zoneId":null,"sensorId":"6ae3864b-ad81-4a7f-8ced-3d2362a2bb16","zoneName":"","deviceKey":"GNSS-01"},{"code":"GNSS-02","name":"GNSS-02","unit":"mm","zoneId":null,"sensorId":"79589d91-e1b2-4040-ab45-ca458dc84a06","zoneName":"","deviceKey":"GNSS-02"}],"sensorType":"gnss_displacement"},"width":353.8503937055,"border":{"color":"#a9b8d3","style":"solid","width":1,"enabled":true},"height":956,"locked":false,"zIndex":10,"wrapMode":"square"}],"page_number":10},{"elements":[{"x":36,"y":10,"id":"header-11","type":"header","props":{"showLogo":true,"tenantId":""},"width":721.700787411,"height":40,"locked":true,"zIndex":0},{"x":36,"y":1080.5196850527,"id":"footer-11","type":"footer","props":{"showPageNumber":true},"width":721.700787411,"height":30,"locked":true,"zIndex":1},{"x":36,"y":72,"id":"text-h2-1788100314396-55","type":"text","props":{"bold":true,"text":"3.4 Dashboards adicionales","spans":[],"italic":false,"fontSize":18,"fontColor":"#1e40af","textAlign":"left","underline":false,"fontFamily":"Calibri","lineHeight":1.3,"headingStyle":"h2","backgroundColor":"#ffffff"},"width":721.700787411,"height":30,"locked":false,"zIndex":10},{"x":36,"y":108,"id":"smc-1788100314396-56","type":"sensor_multi_chart","props":{"to":"2026-08-29T23:59:59.000Z","from":"2026-08-01T00:00:00.000Z","title":"Líneas + Cajas y bigotes","chartType":"line","chartTypes":["line","boxplot"],"selections":[{"code":"PH-01","name":"PH-01","unit":"pH","zoneId":null,"sensorId":"5332bcf6-2b12-41a1-8e5e-b886598871e5","zoneName":"","deviceKey":"PH-01"},{"code":"PH-02","name":"PH-02","unit":"pH","zoneId":null,"sensorId":"69617879-c8f6-4fff-b47d-c1d38ad3272c","zoneName":"","deviceKey":"PH-02"}],"sensorType":"ph"},"width":353.8503937055,"border":{"color":"#a9b8d3","style":"solid","width":1,"enabled":true},"height":500,"locked":false,"zIndex":10,"wrapMode":"square"},{"x":403.8503937055,"y":108,"id":"smc-1788100314396-57","type":"sensor_multi_chart","props":{"to":"2026-08-29T23:59:59.000Z","from":"2026-08-01T00:00:00.000Z","title":"Columnas + Áreas","chartType":"bar","chartTypes":["bar","area"],"selections":[{"code":"TURB-01","name":"TURB-01","unit":"NTU","zoneId":null,"sensorId":"d64e774f-8f15-4578-a1d7-1e32ce3e9cb2","zoneName":"","deviceKey":"TURB-01"},{"code":"TURB-02","name":"TURB-02","unit":"NTU","zoneId":null,"sensorId":"fdbb5c57-d00f-47a8-918b-6ca0afb5619f","zoneName":"","deviceKey":"TURB-02"}],"sensorType":"turbidity"},"width":353.8503937055,"border":{"color":"#a9b8d3","style":"solid","width":1,"enabled":true},"height":500,"locked":false,"zIndex":10,"wrapMode":"square"},{"x":36,"y":424,"id":"smc-1788100314396-58","type":"sensor_multi_chart","props":{"to":"2026-08-29T23:59:59.000Z","from":"2026-08-01T00:00:00.000Z","title":"Líneas + Radial","chartType":"line","chartTypes":["line","radar"],"selections":[{"code":"EM-01-VIENTO","name":"EM-01-VIENTO","unit":"m/s","zoneId":null,"sensorId":"65e05d6f-985f-4b68-939d-afdb683f05f7","zoneName":"","deviceKey":"EM-01-VIENTO"},{"code":"EM-05-VIENTO","name":"EM-05-VIENTO","unit":"m/s","zoneId":null,"sensorId":"f50e8fcb-0764-4590-b14a-585ef5de2e62","zoneName":"","deviceKey":"EM-05-VIENTO"}],"sensorType":"wind_speed"},"width":353.8503937055,"border":{"color":"#a9b8d3","style":"solid","width":1,"enabled":true},"height":500,"locked":false,"zIndex":10,"wrapMode":"square"},{"x":403.8503937055,"y":424,"id":"smc-1788100314396-59","type":"sensor_multi_chart","props":{"to":"2026-08-29T23:59:59.000Z","from":"2026-08-01T00:00:00.000Z","title":"Líneas + Columnas","chartType":"line","chartTypes":["line","bar"],"selections":[{"code":"PM10-01","name":"PM10-01","unit":"ug/m3","zoneId":null,"sensorId":"e9a8efeb-47ea-454c-8867-2fb0dea30f79","zoneName":"","deviceKey":"PM10-01"}],"sensorType":"dust_pm10"},"width":353.8503937055,"border":{"color":"#a9b8d3","style":"solid","width":1,"enabled":true},"height":500,"locked":false,"zIndex":10,"wrapMode":"square"}],"page_number":11},{"elements":[{"x":36,"y":10,"id":"header-12","type":"header","props":{"showLogo":true,"tenantId":""},"width":721.700787411,"height":40,"locked":true,"zIndex":0},{"x":36,"y":1080.5196850527,"id":"footer-12","type":"footer","props":{"showPageNumber":true},"width":721.700787411,"height":30,"locked":true,"zIndex":1},{"x":36,"y":72,"id":"text-h2-1788100314396-60","type":"text","props":{"bold":true,"text":"3.5 Dashboards adicionales","spans":[],"italic":false,"fontSize":18,"fontColor":"#1e40af","textAlign":"left","underline":false,"fontFamily":"Calibri","lineHeight":1.3,"headingStyle":"h2","backgroundColor":"#ffffff"},"width":721.700787411,"height":30,"locked":false,"zIndex":10},{"x":36,"y":108,"id":"smc-1788100314396-61","type":"sensor_multi_chart","props":{"to":"2026-08-29T23:59:59.000Z","from":"2026-08-01T00:00:00.000Z","title":"Líneas + Columnas + Radial","chartType":"line","chartTypes":["line","bar","radar"],"selections":[{"code":"CAM-01-FUEL","name":"CAM-01-FUEL","unit":"%","zoneId":null,"sensorId":"efd0056b-20fb-411e-8dba-488e68864895","zoneName":"","deviceKey":"CAM-01-FUEL"},{"code":"CAM-02-FUEL","name":"CAM-02-FUEL","unit":"%","zoneId":null,"sensorId":"19370092-1a52-4911-bdfc-18209e737f7b","zoneName":"","deviceKey":"CAM-02-FUEL"}],"sensorType":"fuel_level"},"width":353.8503937055,"border":{"color":"#a9b8d3","style":"solid","width":1,"enabled":true},"height":728,"locked":false,"zIndex":10,"wrapMode":"square"},{"x":403.8503937055,"y":108,"id":"smc-1788100314396-62","type":"sensor_multi_chart","props":{"to":"2026-08-29T23:59:59.000Z","from":"2026-08-01T00:00:00.000Z","title":"Líneas + Combinado","chartType":"line","chartTypes":["line","combo"],"selections":[{"code":"ELEC-01-CURR","name":"ELEC-01-CURR","unit":"A","zoneId":null,"sensorId":"23747509-5efe-4087-a0b6-b42756642d70","zoneName":"","deviceKey":"ELEC-01-CURR"},{"code":"ELEC-02-CURR","name":"ELEC-02-CURR","unit":"A","zoneId":null,"sensorId":"16b98b94-14c1-45e0-9123-27ec6f2707d4","zoneName":"","deviceKey":"ELEC-02-CURR"}],"sensorType":"current"},"width":353.8503937055,"border":{"color":"#a9b8d3","style":"solid","width":1,"enabled":true},"height":500,"locked":false,"zIndex":10,"wrapMode":"square"},{"x":36,"y":424,"id":"smc-1788100314396-63","type":"sensor_multi_chart","props":{"to":"2026-08-29T23:59:59.000Z","from":"2026-08-01T00:00:00.000Z","title":"Columnas + Cajas y bigotes + Líneas","chartType":"bar","chartTypes":["bar","boxplot","line"],"selections":[{"code":"CAM-01-VIB","name":"CAM-01-VIB","unit":"mm/s","zoneId":null,"sensorId":"883ddebd-3471-4190-ba0e-40de885a333f","zoneName":"","deviceKey":"CAM-01-VIB"},{"code":"CAM-02-VIB","name":"CAM-02-VIB","unit":"mm/s","zoneId":null,"sensorId":"40e36816-7017-46d4-87b5-f9b9893d7330","zoneName":"","deviceKey":"CAM-02-VIB"}],"sensorType":"equipment_vibration"},"width":353.8503937055,"border":{"color":"#a9b8d3","style":"solid","width":1,"enabled":true},"height":728,"locked":false,"zIndex":10,"wrapMode":"square"}],"page_number":12},{"elements":[{"x":36,"y":10,"id":"header-13","type":"header","props":{"showLogo":true,"tenantId":""},"width":1515.401574822,"height":40,"locked":true,"zIndex":0},{"x":36,"y":1080.5196850527,"id":"footer-13","type":"footer","props":{"showPageNumber":true},"width":1515.401574822,"height":30,"locked":true,"zIndex":1},{"x":36,"y":72,"id":"text-h1-1788100314396-64","type":"text","props":{"bold":true,"text":"3.X Dashboard Panorámico (página A3 horizontal)","spans":[],"italic":false,"fontSize":22,"fontColor":"#1e293b","textAlign":"left","underline":false,"fontFamily":"Calibri","lineHeight":1.3,"headingStyle":"h1","backgroundColor":"#ffffff"},"width":1515.401574822,"height":40,"locked":false,"zIndex":10},{"x":36,"y":122,"id":"smc-1788100314396-65","type":"sensor_multi_chart","props":{"to":"2026-08-29T23:59:59.000Z","from":"2026-08-01T00:00:00.000Z","title":"Combustible de flota — 6 modelos combinados","chartType":"line","chartTypes":["line","bar","area","radar","pie","donut"],"selections":[{"code":"CAM-01-FUEL","name":"CAM-01-FUEL","unit":"%","zoneId":null,"sensorId":"efd0056b-20fb-411e-8dba-488e68864895","zoneName":"","deviceKey":"CAM-01-FUEL"},{"code":"CAM-02-FUEL","name":"CAM-02-FUEL","unit":"%","zoneId":null,"sensorId":"19370092-1a52-4911-bdfc-18209e737f7b","zoneName":"","deviceKey":"CAM-02-FUEL"},{"code":"CAM-03-FUEL","name":"CAM-03-FUEL","unit":"%","zoneId":null,"sensorId":"33b80c72-b67e-43eb-9598-a4ba33627b20","zoneName":"","deviceKey":"CAM-03-FUEL"}],"sensorType":"fuel_level"},"width":750.700787411,"border":{"color":"#a9b8d3","style":"solid","width":1,"enabled":true},"height":1412,"locked":false,"zIndex":10,"wrapMode":"square"},{"x":800.700787411,"y":122,"id":"smc-1788100314396-66","type":"sensor_multi_chart","props":{"to":"2026-08-29T23:59:59.000Z","from":"2026-08-01T00:00:00.000Z","title":"Corriente eléctrica — 4 modelos combinados","chartType":"line","chartTypes":["line","combo","scatter","boxplot"],"selections":[{"code":"ELEC-01-CURR","name":"ELEC-01-CURR","unit":"A","zoneId":null,"sensorId":"23747509-5efe-4087-a0b6-b42756642d70","zoneName":"","deviceKey":"ELEC-01-CURR"},{"code":"ELEC-02-CURR","name":"ELEC-02-CURR","unit":"A","zoneId":null,"sensorId":"16b98b94-14c1-45e0-9123-27ec6f2707d4","zoneName":"","deviceKey":"ELEC-02-CURR"}],"sensorType":"current"},"width":750.700787411,"border":{"color":"#a9b8d3","style":"solid","width":1,"enabled":true},"height":956,"locked":false,"zIndex":10,"wrapMode":"square"}],"paperSize":"A3","orientation":"landscape","page_number":13},{"elements":[{"x":36,"y":10,"id":"header-14","type":"header","props":{"showLogo":true,"tenantId":""},"width":721.700787411,"height":40,"locked":true,"zIndex":0},{"x":36,"y":1080.5196850527,"id":"footer-14","type":"footer","props":{"showPageNumber":true},"width":721.700787411,"height":30,"locked":true,"zIndex":1},{"x":36,"y":72,"id":"text-h1-1788100314396-67","type":"text","props":{"bold":true,"text":"4. Matriz de Riesgos e Indicadores Operativos","spans":[],"italic":false,"fontSize":22,"fontColor":"#1e293b","textAlign":"left","underline":false,"fontFamily":"Calibri","lineHeight":1.3,"headingStyle":"h1","backgroundColor":"#ffffff"},"width":721.700787411,"height":40,"locked":false,"zIndex":10},{"x":36,"y":118,"id":"table-1788100314396-68","type":"table","props":{"rows":[["Riesgo","Probabilidad","Impacto","Estado"],["Desplazamiento de talud Nor-Este","Media","Alto","Crítico"],["Falla de comunicación satelital","Baja","Medio","En seguimiento"],["Saturación de piezómetros en temporada de lluvias","Alta","Alto","Precaución"],["Excedencia de vibración en chancadora primaria","Baja","Bajo","Óptimo"],["Pérdida de calibración en acelerógrafos","Media","Medio","Bueno"]],"title":"","fontSize":12,"headerBg":"#17365D","bandColor":"#F5F8FA","cellAlign":"left","hasHeader":true,"bandedRows":true,"headerBold":true,"borderColor":"#94a3b8","borderStyle":"solid","borderWidth":1,"cellPadding":8,"headerTextColor":"#FFFFFF","colWidths":[178,178,178,178]},"width":721.700787411,"border":{"color":"#a9b8d3","style":"solid","width":1,"enabled":true},"height":220,"locked":false,"zIndex":10,"wrapMode":"square"},{"x":36,"y":372,"id":"kpi-1788100314396-69","type":"kpi","props":{"title":"Disponibilidad del Sistema","value":"—","source":"runtime_db","kpiCode":"disponibilidad_del_sistema","snapshot":{"unit":"%","value":97.8},"trendViz":"spark_bars","connected":false},"width":170,"border":{"color":"#a9b8d3","style":"solid","width":1,"enabled":true},"height":110,"locked":false,"zIndex":10,"wrapMode":"square"},{"x":218,"y":372,"id":"kpi-1788100314396-70","type":"kpi","props":{"title":"Tonelaje Movido","value":"—","source":"runtime_db","kpiCode":"tonelaje_movido","snapshot":{"unit":"t","value":184320},"trendViz":"spark_bars","connected":false},"width":170,"border":{"color":"#a9b8d3","style":"solid","width":1,"enabled":true},"height":110,"locked":false,"zIndex":10,"wrapMode":"square"},{"x":400,"y":372,"id":"kpi-1788100314396-71","type":"kpi","props":{"title":"Alertas Activas","value":"—","source":"runtime_db","kpiCode":"alertas_activas","snapshot":{"unit":"","value":3},"trendViz":"spark_bars","connected":false},"width":170,"border":{"color":"#a9b8d3","style":"solid","width":1,"enabled":true},"height":110,"locked":false,"zIndex":10,"wrapMode":"square"},{"x":582,"y":372,"id":"kpi-1788100314396-72","type":"kpi","props":{"title":"OEE Planta Concentradora","value":"—","source":"runtime_db","kpiCode":"oee_planta_concentradora","snapshot":{"unit":"%","value":0.5},"trendViz":"spark_bars","connected":false},"width":170,"border":{"color":"#a9b8d3","style":"solid","width":1,"enabled":true},"height":110,"locked":false,"zIndex":10,"wrapMode":"square"},{"x":36,"y":512,"id":"chart-static-1788100314396-73","type":"chart","props":{"live":false,"title":"Disponibilidad mensual del sistema","series":[94.8,96.1,95.5,97,96.7,98.2],"chartKind":"line","threshold":95,"categories":["Ene","Feb","Mar","Abr","May","Jun"],"seriesLabel":"Disponibilidad (%)","thresholdLabel":"Meta ≥ 95 %"},"width":354.8503937055,"border":{"color":"#a9b8d3","style":"solid","width":1,"enabled":true},"height":200,"locked":false,"zIndex":10,"wrapMode":"square"},{"x":402.8503937055,"y":512,"id":"seismic-1788100314396-74","type":"seismic-report","props":{"title":"Reporte Sismográfico del Periodo","source":"both","endDate":"2026-08-29","snapshot":{"igpEvents":[{"magnitud":4.2,"referencia":"12km SO de Arequipa","fecha_local":"2026-08-15 10:22","profundidad":60},{"magnitud":3.6,"referencia":"8km NE de Caravelí","fecha_local":"2026-08-21 03:11","profundidad":45}],"companyCount":17},"connected":false,"startDate":"2026-08-01"},"width":354.8503937055,"border":{"color":"#a9b8d3","style":"solid","width":1,"enabled":true},"height":200,"locked":false,"zIndex":10,"wrapMode":"square"}],"page_number":14},{"elements":[{"x":36,"y":10,"id":"header-15","type":"header","props":{"showLogo":true,"tenantId":""},"width":721.700787411,"height":40,"locked":true,"zIndex":0},{"x":36,"y":1080.5196850527,"id":"footer-15","type":"footer","props":{"showPageNumber":true},"width":721.700787411,"height":30,"locked":true,"zIndex":1},{"x":36,"y":72,"id":"text-h1-1788100314396-3","type":"text","props":{"bold":true,"text":"5. Conclusiones","spans":[],"italic":false,"fontSize":22,"fontColor":"#1e293b","textAlign":"left","underline":false,"fontFamily":"Calibri","lineHeight":1.3,"headingStyle":"h1","backgroundColor":"#ffffff"},"width":721.700787411,"height":40,"locked":false,"zIndex":10},{"x":36,"y":118,"id":"text-p-1788100314396-75","type":"text","props":{"bold":false,"text":"1. La red de instrumentación geotécnica evaluada opera dentro de los parámetros de disponibilidad esperados (97.8%), con un número acotado de alertas activas (3) en seguimiento.\n\n2. Los 19 dashboards multi-panel evaluados en la Sección 3 (más el panel panorámico A3) confirman que el motor de captura para exportación DOCX/PPTX sostiene decenas de gráficos ECharts renderizando en simultáneo sin pérdida de datos ni imágenes en blanco.\n\n3. El catálogo individual de 19 tipos de gráfico (Sección 2) y la matriz de riesgos (Sección 4) cubren de forma exhaustiva los escenarios de análisis geotécnico y operativo requeridos.","spans":[],"italic":false,"fontSize":12,"fontColor":"#1e293b","textAlign":"left","underline":false,"fontFamily":"Arial","lineHeight":1.4,"headingStyle":null,"backgroundColor":"#ffffff"},"width":721.700787411,"height":260,"locked":false,"zIndex":10}],"page_number":15},{"elements":[{"x":36,"y":10,"id":"header-16","type":"header","props":{"showLogo":true,"tenantId":""},"width":721.700787411,"height":40,"locked":true,"zIndex":0},{"x":36,"y":1080.5196850527,"id":"footer-16","type":"footer","props":{"showPageNumber":true},"width":721.700787411,"height":30,"locked":true,"zIndex":1},{"x":36,"y":72,"id":"text-h1-1788100314396-76","type":"text","props":{"bold":true,"text":"6. Recomendaciones","spans":[],"italic":false,"fontSize":22,"fontColor":"#1e293b","textAlign":"left","underline":false,"fontFamily":"Calibri","lineHeight":1.3,"headingStyle":"h1","backgroundColor":"#ffffff"},"width":721.700787411,"height":40,"locked":false,"zIndex":10},{"x":36,"y":118,"id":"text-p-1788100314396-77","type":"text","props":{"bold":false,"text":"• Mantener la frecuencia actual de lectura en los sensores de tipo extensómetro y radar de taludes.\n\n• Programar mantenimiento preventivo trimestral para sensores con más de 18 meses sin recalibrar.\n\n• Evaluar la ampliación de la red de piezómetros en el sector de mayor variabilidad detectado.\n\n• Formalizar la revisión mensual del catálogo de visualizaciones como parte del comité técnico.","spans":[],"italic":false,"fontSize":12,"fontColor":"#1e293b","textAlign":"left","underline":false,"fontFamily":"Arial","lineHeight":1.4,"headingStyle":null,"backgroundColor":"#ffffff"},"width":721.700787411,"height":260,"locked":false,"zIndex":10}],"page_number":16},{"elements":[{"x":36,"y":10,"id":"header-17","type":"header","props":{"showLogo":true,"tenantId":""},"width":721.700787411,"height":40,"locked":true,"zIndex":0},{"x":36,"y":1080.5196850527,"id":"footer-17","type":"footer","props":{"showPageNumber":true},"width":721.700787411,"height":30,"locked":true,"zIndex":1},{"x":36,"y":72,"id":"text-h1-1788100314396-78","type":"text","props":{"bold":true,"text":"ANEXO A — Listado de Sensores por Tipo","spans":[],"italic":false,"fontSize":22,"fontColor":"#1e293b","textAlign":"left","underline":false,"fontFamily":"Calibri","lineHeight":1.3,"headingStyle":"h1","backgroundColor":"#ffffff"},"width":721.700787411,"height":40,"locked":false,"zIndex":10},{"x":36,"y":118,"id":"table-1788100314396-79","type":"table","props":{"rows":[["Código","Tipo de sensor","Unidad"],["ACEL-03","accelerograph","g"],["PZ-VW-09","piezometer_vw","kPa"],["INCL-07","inclinometer","mm"],["EXT-05","extensometer","mm"],["RADAR-01","radar_displacement","mm/dia"],["EM-01-TEMP","temperature","°C"],["EM-01-HUM","humidity","%"],["SISM-01","seismograph","Hz"],["CRACK-02","crack_sensor","mm"],["TILT-02","tiltmeter","deg"],["CELDA-AS-01","settlement_cell","mm"],["GNSS-01","gnss_displacement","mm"],["PH-01","ph","pH"],["TURB-01","turbidity","NTU"],["PM10-01","dust_pm10","ug/m3"],["EM-01-VIENTO","wind_speed","m/s"],["CAM-01-FUEL","fuel_level","%"],["ELEC-01-CURR","current","A"]],"title":"","fontSize":12,"headerBg":"#17365D","bandColor":"#F5F8FA","cellAlign":"left","hasHeader":true,"bandedRows":true,"headerBold":true,"borderColor":"#94a3b8","borderStyle":"solid","borderWidth":1,"cellPadding":8,"headerTextColor":"#FFFFFF","colWidths":[237,237,237]},"width":721.700787411,"border":{"color":"#a9b8d3","style":"solid","width":1,"enabled":true},"height":680,"locked":false,"zIndex":10,"wrapMode":"square"}],"page_number":17},{"elements":[{"x":36,"y":10,"id":"header-18","type":"header","props":{"showLogo":true,"tenantId":""},"width":721.700787411,"height":40,"locked":true,"zIndex":0},{"x":36,"y":1080.5196850527,"id":"footer-18","type":"footer","props":{"showPageNumber":true},"width":721.700787411,"height":30,"locked":true,"zIndex":1},{"x":36,"y":72,"id":"text-h1-1788100314396-80","type":"text","props":{"bold":true,"text":"ANEXO B — Glosario de Términos","spans":[],"italic":false,"fontSize":22,"fontColor":"#1e293b","textAlign":"left","underline":false,"fontFamily":"Calibri","lineHeight":1.3,"headingStyle":"h1","backgroundColor":"#ffffff"},"width":721.700787411,"height":40,"locked":false,"zIndex":10},{"x":36,"y":118,"id":"table-1788100314396-81","type":"table","props":{"rows":[["Término","Definición"],["RQD","Rock Quality Designation — índice de calidad de macizo rocoso basado en fracturamiento."],["Piezómetro","Instrumento que mide la presión de poros/agua subterránea en el subsuelo."],["Extensómetro","Sensor que mide el desplazamiento relativo entre dos puntos fijos."],["OEE","Overall Equipment Effectiveness — indicador de eficiencia global de un equipo/planta."],["IGP","Instituto Geofísico del Perú — entidad oficial de monitoreo sísmico nacional."]],"title":"","fontSize":12,"headerBg":"#17365D","bandColor":"#F5F8FA","cellAlign":"left","hasHeader":true,"bandedRows":true,"headerBold":true,"borderColor":"#94a3b8","borderStyle":"solid","borderWidth":1,"cellPadding":8,"headerTextColor":"#FFFFFF","colWidths":[356,356]},"width":721.700787411,"border":{"color":"#a9b8d3","style":"solid","width":1,"enabled":true},"height":260,"locked":false,"zIndex":10,"wrapMode":"square"}],"page_number":18},{"elements":[{"x":36,"y":10,"id":"header-19","type":"header","props":{"showLogo":true,"tenantId":""},"width":721.700787411,"height":40,"locked":true,"zIndex":0},{"x":36,"y":1080.5196850527,"id":"footer-19","type":"footer","props":{"showPageNumber":true},"width":721.700787411,"height":30,"locked":true,"zIndex":1},{"x":36,"y":72,"id":"text-h1-1788100314396-82","type":"text","props":{"bold":true,"text":"BIBLIOGRAFÍA / REFERENCIAS","spans":[],"italic":false,"fontSize":22,"fontColor":"#1e293b","textAlign":"left","underline":false,"fontFamily":"Calibri","lineHeight":1.3,"headingStyle":"h1","backgroundColor":"#ffffff"},"width":721.700787411,"height":40,"locked":false,"zIndex":10},{"x":36,"y":118,"id":"text-p-1788100314396-83","type":"text","props":{"bold":false,"text":"Hoek, E., Carranza-Torres, C., &amp; Corkum, B. (2002). Hoek-Brown failure criterion — 2002 edition. Proceedings of NARMS-TAC Conference, 1, 267–273.\n\nInternational Society for Rock Mechanics. (2007). The complete ISRM suggested methods for rock characterization, testing and monitoring: 1974–2006 (R. Ulusay &amp; J. A. Hudson, Eds.). ISRM Turkish National Group.\n\nInstituto Geofísico del Perú. (2026). Reporte sísmico integrado [Conjunto de datos]. IGP. https://ultimosismo.igp.gob.pe\n\nBeemetry Mining Platform. (2026). Manual técnico del motor de exportación DOCX/PPTX de ReportStudioV2 (v3.0) [Documentación interna]. Beemetry.\n\nRead, J., &amp; Stacey, P. (2009). Guidelines for open pit slope design. CSIRO Publishing.","spans":[],"italic":false,"fontSize":11,"fontColor":"#1e293b","textAlign":"left","underline":false,"fontFamily":"Arial","lineHeight":1.4,"headingStyle":null,"backgroundColor":"#ffffff"},"width":721.700787411,"height":300,"locked":false,"zIndex":10}],"page_number":19}],"document_id":"advanced-mining-report-v3"}</vt:lpwstr>
  </property>
</Properties>
</file>