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62B47"/>
          <w:sz w:val="48"/>
          <w:szCs w:val="48"/>
        </w:rPr>
        <w:t xml:space="preserve">INFORME DE ESTADO ACTUALIZADO</w:t>
      </w:r>
    </w:p>
    <w:p>
      <w:pPr>
        <w:spacing w:after="400" w:before="200"/>
        <w:jc w:val="center"/>
      </w:pPr>
      <w:r>
        <w:rPr>
          <w:rFonts w:ascii="Calibri" w:cs="Calibri" w:eastAsia="Calibri" w:hAnsi="Calibri"/>
          <w:b/>
          <w:bCs/>
          <w:color w:val="ED7D31"/>
          <w:sz w:val="32"/>
          <w:szCs w:val="32"/>
        </w:rPr>
        <w:t xml:space="preserve">Plataforma Minera Beemetry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Empresa: TimeTelemetry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1A1A1A"/>
          <w:sz w:val="24"/>
          <w:szCs w:val="24"/>
        </w:rPr>
        <w:t xml:space="preserve">Corte: 30 de agosto de 2026, America/Lima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B6672"/>
          <w:sz w:val="22"/>
          <w:szCs w:val="22"/>
        </w:rPr>
        <w:t xml:space="preserve">Base: ADR-000–136 (137 registros) · SPEC-001–024 · Cronograma v36.1</w:t>
      </w:r>
    </w:p>
    <w:tbl>
      <w:tblPr>
        <w:tblW w:type="pct" w:w="100%"/>
        <w:tblBorders>
          <w:top w:val="single" w:color="EEF2F7" w:sz="4"/>
          <w:left w:val="single" w:color="EEF2F7" w:sz="4"/>
          <w:bottom w:val="single" w:color="EEF2F7" w:sz="4"/>
          <w:right w:val="single" w:color="EEF2F7" w:sz="4"/>
          <w:insideH w:val="none"/>
          <w:insideV w:val="none"/>
        </w:tblBorders>
      </w:tblPr>
      <w:tblGrid>
        <w:gridCol w:w="100"/>
      </w:tblGrid>
      <w:tr>
        <w:tc>
          <w:tcPr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Objetivo de este informe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Actualizar la línea base del informe del 18-ago con el trabajo real de los últimos 12 días, para sustentar ante Gerencia TI y Gerencia General el cronograma, las fechas de entrega por sprint y los entregables mes a mes, de cara al cierre del gate R3 (mañana, 31-ago-2026).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1. Conclusión ejecutiva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El avance documentado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se movió desde el 18-ago</w:t>
      </w:r>
      <w:r>
        <w:rPr>
          <w:rFonts w:ascii="Calibri" w:cs="Calibri" w:eastAsia="Calibri" w:hAnsi="Calibri"/>
          <w:sz w:val="22"/>
          <w:szCs w:val="22"/>
        </w:rPr>
        <w:t xml:space="preserve">: sigue en 106 de 196 tareas canónicas = </w:t>
      </w: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54,1%</w:t>
      </w:r>
      <w:r>
        <w:rPr>
          <w:rFonts w:ascii="Calibri" w:cs="Calibri" w:eastAsia="Calibri" w:hAnsi="Calibri"/>
          <w:sz w:val="22"/>
          <w:szCs w:val="22"/>
        </w:rPr>
        <w:t xml:space="preserve">. En los 12 días transcurridos se redactaron y verificaron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7 ADR nuevos (130–136)</w:t>
      </w:r>
      <w:r>
        <w:rPr>
          <w:rFonts w:ascii="Calibri" w:cs="Calibri" w:eastAsia="Calibri" w:hAnsi="Calibri"/>
          <w:sz w:val="22"/>
          <w:szCs w:val="22"/>
        </w:rPr>
        <w:t xml:space="preserve"> — todos implemented con evidencia en vivo — pero ningún checkbox de specs/*/tasks.md se marcó. Esa es la brecha central de este informe: hay trabajo real, verificado, que el gate de release no está contando porque nunca se formalizó como tarea de SPEC.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El gate </w:t>
      </w:r>
      <w:r>
        <w:rPr>
          <w:rFonts w:ascii="Calibri" w:cs="Calibri" w:eastAsia="Calibri" w:hAnsi="Calibri"/>
          <w:b/>
          <w:bCs/>
          <w:color w:val="B23A2E"/>
          <w:sz w:val="22"/>
          <w:szCs w:val="22"/>
        </w:rPr>
        <w:t xml:space="preserve">R3 vence mañana, 31 de agosto</w:t>
      </w:r>
      <w:r>
        <w:rPr>
          <w:rFonts w:ascii="Calibri" w:cs="Calibri" w:eastAsia="Calibri" w:hAnsi="Calibri"/>
          <w:sz w:val="22"/>
          <w:szCs w:val="22"/>
        </w:rPr>
        <w:t xml:space="preserve">, con el mismo 75,8% (50/66) de hace 9 días. Sin una decisión explícita de Gerencia (excepción documentada o extensión de fecha), el gate se declara formalmente no cumplido en su fecha contractual.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El foco de los ADR nuevos cambió de forma marcada: la tanda anterior (112–129) era mayormente soporte/IA; esta tanda (130–136) es mayormente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plataforma y seguridad</w:t>
      </w:r>
      <w:r>
        <w:rPr>
          <w:rFonts w:ascii="Calibri" w:cs="Calibri" w:eastAsia="Calibri" w:hAnsi="Calibri"/>
          <w:sz w:val="22"/>
          <w:szCs w:val="22"/>
        </w:rPr>
        <w:t xml:space="preserve"> — incluyendo el hallazgo más grave de todo el proyecto hasta ahora: una vulnerabilidad crítica de escalada de privilegios en el autoregistro público, explotada en vivo contra un tenant real durante un ejercicio de red-team propio, y cerrada en el mismo período (ADR-134).</w:t>
      </w:r>
    </w:p>
    <w:p>
      <w:pPr>
        <w:pStyle w:val="Heading1"/>
        <w:spacing w:after="160" w:before="360"/>
      </w:pPr>
      <w:r>
        <w:t xml:space="preserve">2. Método de medición (sin cambios de criterio)</w:t>
      </w:r>
    </w:p>
    <w:p>
      <w:pPr>
        <w:pStyle w:val="Heading2"/>
        <w:spacing w:after="120" w:before="260"/>
      </w:pPr>
      <w:r>
        <w:t xml:space="preserve">2.1 Avance de ejecución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Se cuenta cada tarea canónica de tasks.md una sola vez, con scripts/project-status-metrics.ps1 corrido hoy (2026-08-30). Resultado: 106/196 = 54,1%, idéntico al 18-ago.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Hallazgo de esta pasada, no de código sino de tooling: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el script tenía el campo Cutoff hardcodeado a '2026-08-18'</w:t>
      </w:r>
      <w:r>
        <w:rPr>
          <w:rFonts w:ascii="Calibri" w:cs="Calibri" w:eastAsia="Calibri" w:hAnsi="Calibri"/>
          <w:sz w:val="22"/>
          <w:szCs w:val="22"/>
        </w:rPr>
        <w:t xml:space="preserve"> — no se había actualizado en la auditoría del 21-ago ni podía haberse detectado solo mirando su salida. El cálculo de Done/Total en sí es correcto (deriva en vivo de los checkboxes reales), solo la etiqueta de fecha estaba fija. Corregido hoy para que no vuelva a quedar obsoleta.</w:t>
      </w:r>
    </w:p>
    <w:p>
      <w:pPr>
        <w:pStyle w:val="Heading2"/>
        <w:spacing w:after="120" w:before="260"/>
      </w:pPr>
      <w:r>
        <w:t xml:space="preserve">2.2 Estado de decisión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Sin cambios: proposed = existe dirección, puede cambiar · accepted = decisión aprobada, no prueba implementación · implemented = existe código y evidencia de verificación, no prueba que la tarea esté marcada cerrada en el gate. Los 7 ADR nuevos son implemented/verificados en vivo y ninguno movió el 54,1% — es la evidencia más clara hasta ahora de que ADR y tasks.md pueden divergir.</w:t>
      </w:r>
    </w:p>
    <w:p>
      <w:pPr>
        <w:pStyle w:val="Heading2"/>
        <w:spacing w:after="120" w:before="260"/>
      </w:pPr>
      <w:r>
        <w:t xml:space="preserve">2.3 Readiness mensual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Sin cambio de metodología. Como los checkboxes no se movieron, los porcentajes por gate (R2 90,9%, R3 75,8%, R4 58,1%, R5 37,7%, R6 40%) son idénticos a los del 21-ago — ver §3.</w:t>
      </w:r>
    </w:p>
    <w:p>
      <w:pPr>
        <w:pStyle w:val="Heading1"/>
        <w:spacing w:after="160" w:before="360"/>
      </w:pPr>
      <w:r>
        <w:t xml:space="preserve">3. Avance mes a mes y por etapa</w:t>
      </w:r>
    </w:p>
    <w:tbl>
      <w:tblPr>
        <w:tblW w:type="pct" w:w="100%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D8DEE6" w:sz="4"/>
          <w:insideV w:val="single" w:color="D8DEE6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pct" w:w="12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Etapa / gate</w:t>
            </w:r>
          </w:p>
        </w:tc>
        <w:tc>
          <w:tcPr>
            <w:tcW w:type="pct" w:w="30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Alcance principal</w:t>
            </w:r>
          </w:p>
        </w:tc>
        <w:tc>
          <w:tcPr>
            <w:tcW w:type="pct" w:w="10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Avance</w:t>
            </w:r>
          </w:p>
        </w:tc>
        <w:tc>
          <w:tcPr>
            <w:tcW w:type="pct" w:w="36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Interpretación</w:t>
            </w:r>
          </w:p>
        </w:tc>
      </w:tr>
      <w:t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Junio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Etapa 1 · R1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Arquitectura, SDD, modelo de datos y plan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100%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Cerrado desde el 30-jun</w:t>
            </w:r>
          </w:p>
        </w:tc>
      </w:tr>
      <w:t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Julio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Etapa 1 · R2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Core, ingesta, auth/RBAC y seguridad base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90,9%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Cierre formal pendiente, sin cambio desde el 18-ago</w:t>
            </w:r>
          </w:p>
        </w:tc>
      </w:tr>
      <w:t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Agosto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Etapa 1 · R3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Editor, dashboards, GIS, sensores, IA base, 25k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75,8%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Vence mañana. Sin cambio en 9 días pese a 7 ADR</w:t>
            </w:r>
          </w:p>
        </w:tc>
      </w:tr>
      <w:t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Septiembre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Etapa 1 · R4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Export, offline, alertas, CCTV, RP/AWS, regresión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58,1%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Readiness disponible hoy; offline/alertas críticos</w:t>
            </w:r>
          </w:p>
        </w:tc>
      </w:tr>
      <w:t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Octubre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Etapa 2 · R5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HA/DR, histórico, seguridad, IA avanzada, portabilidad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37,7%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Sin pentest, DR ni calibraciones agendadas</w:t>
            </w:r>
          </w:p>
        </w:tc>
      </w:tr>
      <w:t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Noviembre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Etapa 2 · R6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Estrés, UAT, marcha blanca, go-live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40%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Preparación técnica temprana; no habilita producción</w:t>
            </w:r>
          </w:p>
        </w:tc>
      </w:tr>
      <w:tr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Rebaseline</w:t>
            </w:r>
          </w:p>
        </w:tc>
        <w:tc>
          <w:tcPr>
            <w:tcW w:type="pct" w:w="1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Extensión campo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App offline, formularios, ERP, PDA e IA de campo</w:t>
            </w:r>
          </w:p>
        </w:tc>
        <w:tc>
          <w:tcPr>
            <w:tcW w:type="pct" w:w="1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C8C8C"/>
                <w:sz w:val="20"/>
                <w:szCs w:val="20"/>
              </w:rPr>
              <w:t xml:space="preserve">0%</w:t>
            </w:r>
          </w:p>
        </w:tc>
        <w:tc>
          <w:tcPr>
            <w:tcW w:type="pct" w:w="3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Sin product owner ni presupuesto, igual que el 18-ago</w:t>
            </w:r>
          </w:p>
        </w:tc>
      </w:tr>
    </w:tbl>
    <w:p>
      <w:pPr>
        <w:spacing w:after="240" w:before="120"/>
        <w:jc w:val="center"/>
      </w:pPr>
      <w:r>
        <w:drawing>
          <wp:inline distT="0" distB="0" distL="0" distR="0">
            <wp:extent cx="566737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B6672"/>
          <w:sz w:val="18"/>
          <w:szCs w:val="18"/>
        </w:rPr>
        <w:t xml:space="preserve">Figura 1 — Avance/readiness disponible al corte, por mes y gate. Valores idénticos a los del 21-ago.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Estos valores son la preparación disponible al 30-ago,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una proyección</w:t>
      </w:r>
      <w:r>
        <w:rPr>
          <w:rFonts w:ascii="Calibri" w:cs="Calibri" w:eastAsia="Calibri" w:hAnsi="Calibri"/>
          <w:sz w:val="22"/>
          <w:szCs w:val="22"/>
        </w:rPr>
        <w:t xml:space="preserve"> — y son numéricamente idénticos a los del 21-ago porque ninguna tarea canónica cerró en el período.</w:t>
      </w:r>
    </w:p>
    <w:p>
      <w:pPr>
        <w:pStyle w:val="Heading1"/>
        <w:spacing w:after="160" w:before="360"/>
      </w:pPr>
      <w:r>
        <w:t xml:space="preserve">4. Controles de salida R6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Sin cambio desde el 18/21-ago — ninguno de los 6 controles pendientes tiene proveedor o fecha agendada todavía.</w:t>
      </w:r>
    </w:p>
    <w:tbl>
      <w:tblPr>
        <w:tblW w:type="pct" w:w="100%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D8DEE6" w:sz="4"/>
          <w:insideV w:val="single" w:color="D8DEE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62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pct" w:w="30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 al corte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TypeScript sin errores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Cumplido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Unit tests frontend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Cumplido: 47/47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Build productivo frontend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Cumplido (advertencias no bloqueantes)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Build + CTest backend del árbol actual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Cumplido: build 100%, CTest 1/1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E2E Playwright de flujos críticos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No ejecutado en esta auditoría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Pentest externo y P0/P1 cerrados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Pendiente — sin proveedor agendado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Simulacro DR con RTO&lt;15 min/RPO≈0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UAT firmado por operadores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Despliegue productivo/rollback automatizado probado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Pendiente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Marcha blanca 48–72 h y acta go-live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240" w:before="120"/>
        <w:jc w:val="center"/>
      </w:pPr>
      <w:r>
        <w:drawing>
          <wp:inline distT="0" distB="0" distL="0" distR="0">
            <wp:extent cx="329565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B6672"/>
          <w:sz w:val="18"/>
          <w:szCs w:val="18"/>
        </w:rPr>
        <w:t xml:space="preserve">Figura 2 — Readiness de salida a producción: 4 de 10 controles cumplidos (40%), sin cambio desde el 21-ago.</w:t>
      </w:r>
    </w:p>
    <w:p>
      <w:pPr>
        <w:pStyle w:val="Heading1"/>
        <w:spacing w:after="160" w:before="360"/>
      </w:pPr>
      <w:r>
        <w:t xml:space="preserve">5. Los 7 ADR nuevos desde el 18/21-ago (130–136)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A diferencia de la tanda 112–129 (soporte/IA/geo), esta tanda es mayormente plataforma y seguridad:</w:t>
      </w:r>
    </w:p>
    <w:tbl>
      <w:tblPr>
        <w:tblW w:type="pct" w:w="100%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D8DEE6" w:sz="4"/>
          <w:insideV w:val="single" w:color="D8DEE6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ADR</w:t>
            </w:r>
          </w:p>
        </w:tc>
        <w:tc>
          <w:tcPr>
            <w:tcW w:type="pct" w:w="42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pct" w:w="20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Ámbito</w:t>
            </w:r>
          </w:p>
        </w:tc>
        <w:tc>
          <w:tcPr>
            <w:tcW w:type="pct" w:w="30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130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RBAC empresa minera vs. organización + acceso cruzado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plataforma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implemented, pendiente E2E con datos reales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131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Consolidación del modelo de telemetría (dim_*/telemetry_fact*)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datos / core-iot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implemented (fases 0-5, 9-10); fases 6-8/13 pendientes de deploy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132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Bearer en memoria + cookies namespaced, aislamiento multifrontend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plataforma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implemented, verificado E2E en vivo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133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Endurecimiento post red-team: CSP, cookie cross-site, validación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plataforma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implemented, verificado en vivo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134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Fix crítico: escalada de privilegios vía autoregistro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plataforma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implemented, verificado en vivo — CRÍTICA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135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MFA/TOTP, alertas de seguridad, RUC obligatorio en bootstrap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plataforma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implemented, verificado E2E de punta a punta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136</w:t>
            </w:r>
          </w:p>
        </w:tc>
        <w:tc>
          <w:tcPr>
            <w:tcW w:type="pct" w:w="4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Telemetría calculada por lectura + dashboard de simulación</w:t>
            </w:r>
          </w:p>
        </w:tc>
        <w:tc>
          <w:tcPr>
            <w:tcW w:type="pct" w:w="2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datos / core-iot / frontend</w:t>
            </w:r>
          </w:p>
        </w:tc>
        <w:tc>
          <w:tcPr>
            <w:tcW w:type="pct" w:w="30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implemented (esquema + lectura); cómputo vía script externo</w:t>
            </w:r>
          </w:p>
        </w:tc>
      </w:tr>
    </w:tbl>
    <w:p>
      <w:pPr>
        <w:spacing w:after="240" w:before="120"/>
        <w:jc w:val="center"/>
      </w:pPr>
      <w:r>
        <w:drawing>
          <wp:inline distT="0" distB="0" distL="0" distR="0">
            <wp:extent cx="3295650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B6672"/>
          <w:sz w:val="18"/>
          <w:szCs w:val="18"/>
        </w:rPr>
        <w:t xml:space="preserve">Figura 3 — Distribución de los 7 ADR nuevos por ámbito.</w:t>
      </w:r>
    </w:p>
    <w:p>
      <w:pPr>
        <w:pStyle w:val="Heading2"/>
        <w:spacing w:after="120" w:before="260"/>
      </w:pPr>
      <w:r>
        <w:t xml:space="preserve">ADR-134 — el hallazgo más grave del proyecto hasta ahora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POST /api/auth/register es público (sin sesión previa) y por diseño provisiona un tenant real para una empresa nueva (ADR-067/078). El hallazgo: el mismo endpoint, contra una empresa que ya existía con usuarios reales (verificado en vivo contra un tenant real, "Minera Raura"), aceptaba "role": "admin" en el body y devolvía 201 Created con una sesión administrativa completa — is_admin: true, permisos usuarios.manage, permisos.manage, empresas.manage, org.cross_tenant.manage — sobre el tenant real de esa empresa. Cerrado y verificado el mismo día contra el stack corriendo (2026-08-26).</w:t>
      </w:r>
    </w:p>
    <w:tbl>
      <w:tblPr>
        <w:tblW w:type="pct" w:w="100%"/>
        <w:tblBorders>
          <w:top w:val="single" w:color="FBEAE7" w:sz="4"/>
          <w:left w:val="single" w:color="FBEAE7" w:sz="4"/>
          <w:bottom w:val="single" w:color="FBEAE7" w:sz="4"/>
          <w:right w:val="single" w:color="FBEAE7" w:sz="4"/>
          <w:insideH w:val="none"/>
          <w:insideV w:val="none"/>
        </w:tblBorders>
      </w:tblPr>
      <w:tblGrid>
        <w:gridCol w:w="100"/>
      </w:tblGrid>
      <w:tr>
        <w:tc>
          <w:tcPr>
            <w:shd w:fill="FBEA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2"/>
                <w:szCs w:val="22"/>
              </w:rPr>
              <w:t xml:space="preserve">No es solo un hallazgo técnico cerrado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La vulnerabilidad estuvo presente antes del fix, lo que abre una pregunta de gestión que este informe no puede responder por sí solo: ¿corresponde auditoría o notificación retroactiva a los tenants que existían antes del 26-ago? Ver §10.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60"/>
      </w:pPr>
      <w:r>
        <w:t xml:space="preserve">ADR-131 — consolidación del modelo de telemetría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Responde a un pedido explícito de sostener 25.000 registros/segundo continuos 24/7, históricos de hasta 5 años y una arquitectura preparada para 10 años de crecimiento. Las fases 0-5 y 9-10 están aplicadas contra beemetry-db local; las fases 6-8/13 (dual-write, cutover de lecturas y retiro de tablas legacy) requieren una ventana de despliegue del backend C++ productivo, decisión que no se tomó unilateralmente en la sesión que produjo el ADR.</w:t>
      </w:r>
    </w:p>
    <w:p>
      <w:pPr>
        <w:pStyle w:val="Heading2"/>
        <w:spacing w:after="120" w:before="260"/>
      </w:pPr>
      <w:r>
        <w:t xml:space="preserve">ADR-136 — telemetría calculada, decisión de arquitectura interina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Nueva tabla telemetry_fact_calc (métrica derivada por lectura: nivel de alerta, tasa de cambio, delta vs. umbral) con endpoint de solo lectura y panel SimulationMonitor.tsx. El cómputo lo puebla un script externo, no el backend C++ — decisión explícita para no agregar un scheduler al proceso que sirve tráfico real sin pedido de negocio. Si deja de ser interino, requiere su propio ADR de seguimiento.</w:t>
      </w:r>
    </w:p>
    <w:p>
      <w:pPr>
        <w:pStyle w:val="Heading1"/>
        <w:spacing w:after="160" w:before="360"/>
      </w:pPr>
      <w:r>
        <w:t xml:space="preserve">6. Hallazgos de auditoría de esta pasada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No son ADR — son gaps de documentación/tooling encontrados y corregidos al preparar este informe: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docs/decisions/README.md no tenía fila para ADR-129 a 136 (mismo patrón de brecha de trazabilidad de las auditorías del 18/20/21-ago) — corregido hoy.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docs/decisions/013-editor-tiptap-konva.md estaba corrompido en el árbol de trabajo: la palabra "Konva" había sido borrada en las 11 apariciones del texto por algún proceso automatizado. Restaurado desde HEAD — no se perdió contenido real.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scripts/project-status-metrics.ps1 tenía el Cutoff hardcodeado al 18-ago (ver §2.1) — corregido para que se calcule en cada corrida.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CHANGELOG.md sin tocar desde el 21-ago (9 días) pese a 7 ADR nuevos — mismo patrón de riesgo que ya se señaló el 21-ago para el período anterior.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7. Estado por frente funcional</w:t>
      </w:r>
    </w:p>
    <w:tbl>
      <w:tblPr>
        <w:tblW w:type="pct" w:w="100%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D8DEE6" w:sz="4"/>
          <w:insideV w:val="single" w:color="D8DEE6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Frente</w:t>
            </w:r>
          </w:p>
        </w:tc>
        <w:tc>
          <w:tcPr>
            <w:tcW w:type="pct" w:w="14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pct" w:w="62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Pendiente decisivo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Ingesta/telemetría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Verde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Soak 1h/24h, nueva topología para 100k; fases 6-8/13 de ADR-131 pendientes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Plataforma/seguridad (nuevo)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Verde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ADR-132/133/134/135 verificados en vivo; decidir notificación retroactiva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Auth/RBAC/auditoría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Ámb.-verde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Pentest externo, runbooks, evidencia productiva; ADR-130 pendiente E2E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RP/Odoo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Ámb.-verde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CA-4: create/write productivo autorizado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Dashboard/realtime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Amarillo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Regresión, SLA, integración de sitio; panel de simulación (ADR-136) sin CI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Reportabilidad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Amarillo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Regresión completa, export multigráfico, UAT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Sensores/zonas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Amarillo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Anti-IDOR, contrato API, render/export CI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GIS/3D/GEOCATMIN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Amarillo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Datos reales, performance y aceptación operacional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Biometría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Amarillo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FMR/FNMR, PAD, DPIA, hardware real, reenrolamiento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AWS/ThingsBoard legacy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Amarillo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Validación contra entorno/credenciales del cliente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Soporte/WhatsApp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Amarillo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9 ADR implementados, sin SPEC ni sprint; credenciales Meta de producción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Alertas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Rojo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SPEC-016 0/5 y prueba extremo a extremo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Offline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Rojo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SPEC-014 0/10 como flujo integral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DR/HA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Rojo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SPEC-015 0/11; promoción, restore, RTO/RPO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Operaciones de campo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Rojo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Producto 0/14; aprobar ADR-110 y reprogramar</w:t>
            </w:r>
          </w:p>
        </w:tc>
      </w:tr>
      <w:tr>
        <w:tc>
          <w:tcPr>
            <w:tcW w:type="pct" w:w="2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EPP / Enterprise LATAM</w:t>
            </w:r>
          </w:p>
        </w:tc>
        <w:tc>
          <w:tcPr>
            <w:tcW w:type="pct" w:w="1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C8C8C"/>
                <w:sz w:val="20"/>
                <w:szCs w:val="20"/>
              </w:rPr>
              <w:t xml:space="preserve">Gris/deferred</w:t>
            </w:r>
          </w:p>
        </w:tc>
        <w:tc>
          <w:tcPr>
            <w:tcW w:type="pct" w:w="6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ADR-025 no reactivar sin dataset/privacidad; ADR-035 F1-F4 sin decisión</w:t>
            </w:r>
          </w:p>
        </w:tc>
      </w:tr>
    </w:tbl>
    <w:p>
      <w:pPr>
        <w:pStyle w:val="Heading1"/>
        <w:spacing w:after="160" w:before="360"/>
      </w:pPr>
      <w:r>
        <w:t xml:space="preserve">8. Riesgos gerenciales</w:t>
      </w:r>
    </w:p>
    <w:tbl>
      <w:tblPr>
        <w:tblW w:type="pct" w:w="100%"/>
        <w:tblBorders>
          <w:top w:val="single" w:color="D8DEE6" w:sz="4"/>
          <w:left w:val="single" w:color="D8DEE6" w:sz="4"/>
          <w:bottom w:val="single" w:color="D8DEE6" w:sz="4"/>
          <w:right w:val="single" w:color="D8DEE6" w:sz="4"/>
          <w:insideH w:val="single" w:color="D8DEE6" w:sz="4"/>
          <w:insideV w:val="single" w:color="D8DEE6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Prio.</w:t>
            </w:r>
          </w:p>
        </w:tc>
        <w:tc>
          <w:tcPr>
            <w:tcW w:type="pct" w:w="34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pct" w:w="26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pct" w:w="32%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Acción/decisión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P0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R3 vence mañana (31-ago) al mismo 75,8% de hace 9 días — 0 tareas cerradas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Gate en riesgo de no cumplirse en su fecha formal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Decidir: excepción documentada con plan de cierre, o extensión formal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P0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187 archivos sin commitear; CHANGELOG sin tocar desde el 21-ago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Pérdida de trabajo y trazabilidad — mejoró de 365 pero sigue alto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Segmentar ramas/commits por SPEC y respaldar ya; actualizar CHANGELOG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P0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Vulnerabilidad crítica de escalada de privilegios (ADR-134) activa hasta el 26-ago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Exposición retroactiva sobre tenants reales antes del fix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Definir alcance de auditoría/notificación retroactiva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3A2E"/>
                <w:sz w:val="20"/>
                <w:szCs w:val="20"/>
              </w:rPr>
              <w:t xml:space="preserve">P0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Offline, alertas y DR casi sin tareas cerradas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R4/R5 no alcanzables por inercia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Equipo dedicado y plan semanal con evidencia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P1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Tracking de tasks.md desacoplado del trabajo real: 7 ADR implementados, 0 checkboxes movidos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El gate mide tareas, no ADR — el 54,1% no refleja el trabajo real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Formalizar en tasks.md el trabajo ya implementado en ADR-130-136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P1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Sin pentest externo/UAT/DR agendados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No habilita go-live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Agendar proveedores/usuarios y ventanas ahora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P1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Soporte/WhatsApp sin SPEC ni presupuesto formal (9 ADR implementados)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Alcance no contractual sin decisión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Aprobar SPEC-025 o posponer explícitamente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P1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Deploy de fases 6-8/13 de ADR-131 sin ventana asignada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Modelo de telemetría consolidado no cierra en producción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Autorizar ventana de despliegue backend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P1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AWS real depende de acceso del cliente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Puede bloquear R4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Responsable, credenciales, ventana y dataset de aceptación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C88A00"/>
                <w:sz w:val="20"/>
                <w:szCs w:val="20"/>
              </w:rPr>
              <w:t xml:space="preserve">P1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Biometría sin calibración/cumplimiento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Riesgo de seguridad/privacidad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Dataset representativo, laboratorio y DPIA</w:t>
            </w:r>
          </w:p>
        </w:tc>
      </w:tr>
      <w:tr>
        <w:tc>
          <w:tcPr>
            <w:tcW w:type="pct" w:w="8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8C8C8C"/>
                <w:sz w:val="20"/>
                <w:szCs w:val="20"/>
              </w:rPr>
              <w:t xml:space="preserve">P2</w:t>
            </w:r>
          </w:p>
        </w:tc>
        <w:tc>
          <w:tcPr>
            <w:tcW w:type="pct" w:w="34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Bundles &gt;500 kB y warnings CSS</w:t>
            </w:r>
          </w:p>
        </w:tc>
        <w:tc>
          <w:tcPr>
            <w:tcW w:type="pct" w:w="26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UX en enlaces lentos/PDA</w:t>
            </w:r>
          </w:p>
        </w:tc>
        <w:tc>
          <w:tcPr>
            <w:tcW w:type="pct" w:w="32%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0"/>
                <w:szCs w:val="20"/>
              </w:rPr>
              <w:t xml:space="preserve">Code splitting, limpiar @apply, presupuesto de bundle</w:t>
            </w:r>
          </w:p>
        </w:tc>
      </w:tr>
    </w:tbl>
    <w:p>
      <w:pPr>
        <w:spacing w:after="240" w:before="120"/>
        <w:jc w:val="center"/>
      </w:pPr>
      <w:r>
        <w:drawing>
          <wp:inline distT="0" distB="0" distL="0" distR="0">
            <wp:extent cx="3838575" cy="2876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rFonts w:ascii="Calibri" w:cs="Calibri" w:eastAsia="Calibri" w:hAnsi="Calibri"/>
          <w:i/>
          <w:iCs/>
          <w:color w:val="5B6672"/>
          <w:sz w:val="18"/>
          <w:szCs w:val="18"/>
        </w:rPr>
        <w:t xml:space="preserve">Figura 4 — Riesgos gerenciales por prioridad: 4 P0, 6 P1, 1 P2.</w:t>
      </w:r>
    </w:p>
    <w:p>
      <w:pPr>
        <w:pStyle w:val="Heading1"/>
        <w:spacing w:after="160" w:before="360"/>
      </w:pPr>
      <w:r>
        <w:t xml:space="preserve">9. Plan de recuperación propuesto</w:t>
      </w:r>
    </w:p>
    <w:p>
      <w:pPr>
        <w:pStyle w:val="Heading2"/>
        <w:spacing w:after="120" w:before="260"/>
      </w:pPr>
      <w:r>
        <w:t xml:space="preserve">30–31 agosto — cerrar R3 con evidencia, o declarar excepción formalmente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Cerrar CA pendientes de SPEC-005/007/008/009/010/011/020/021/002 y regresión de ReportStudio.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Formalizar en tasks.md el trabajo ya implementado y verificado en ADR-130 a 136 — es la acción de mayor apalancamiento: no requiere código nuevo, cierra la brecha del §2/§6.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Incorporar build/CTest backend y Playwright crítico a CI.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Decidir explícitamente el alcance de Soporte/WhatsApp (SPEC-025) antes del cierre de R3.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Publicar acta de gate R3 con el resultado de la decisión de Gerencia (excepción o extensión).</w:t>
      </w:r>
    </w:p>
    <w:p>
      <w:pPr>
        <w:pStyle w:val="Heading2"/>
        <w:spacing w:after="120" w:before="260"/>
      </w:pPr>
      <w:r>
        <w:t xml:space="preserve">Septiembre — R4 integrado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Equipo A: SPEC-014 offline y pruebas WAN/replay.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Equipo B: SPEC-016 alertas, sensores reales e integración dashboard/informe.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Equipo C: AWS/ThingsBoard real + CA-4 Odoo autorizada + ventana de deploy de ADR-131 fases 6-8/13.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QA independiente: catálogo actualizado, E2E, export y seguridad de tenant.</w:t>
      </w:r>
    </w:p>
    <w:p>
      <w:pPr>
        <w:pStyle w:val="Heading2"/>
        <w:spacing w:after="120" w:before="260"/>
      </w:pPr>
      <w:r>
        <w:t xml:space="preserve">Octubre — R5 sin negociación de evidencia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Simulacro failover/restore con cronómetro y conteos.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Pentest externo; cierre P0/P1 y retest — incluir verificación retroactiva del hallazgo ADR-134.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Soak de telemetría, capacidad de almacenamiento y pruebas de resiliencia.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Calibración biométrica o exclusión formal de alcance productivo.</w:t>
      </w:r>
    </w:p>
    <w:p>
      <w:pPr>
        <w:pStyle w:val="Heading2"/>
        <w:spacing w:after="120" w:before="260"/>
      </w:pPr>
      <w:r>
        <w:t xml:space="preserve">Noviembre — R6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UAT con operadores, marcha blanca 48–72 h, rollback y actas.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Go-live solo si los diez controles de §4 están completos.</w:t>
      </w:r>
    </w:p>
    <w:p>
      <w:pPr>
        <w:pStyle w:val="Heading2"/>
        <w:spacing w:after="120" w:before="260"/>
      </w:pPr>
      <w:r>
        <w:t xml:space="preserve">Operaciones de campo — proyecto derivado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Sin cambios respecto al 18-ago: no absorber en los sprints restantes. Aprobar ADR-110 y SPEC-022, asignar product owner, arquitecto, backend, móvil, QA, seguridad/MDM e integrador ERP.</w:t>
      </w:r>
    </w:p>
    <w:p>
      <w:pPr>
        <w:pStyle w:val="Heading1"/>
        <w:spacing w:after="160" w:before="360"/>
      </w:pPr>
      <w:r>
        <w:t xml:space="preserve">10. Decisiones que se solicitan a Gerencia TI y Gerencia General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Cierre de R3 (vence mañana): excepción documentada con plan de cierre, o extensión formal de fecha — el gate no puede declararse cumplido sin una de las dos.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Aprobar o diferir explícitamente la incorporación de Soporte/WhatsApp al alcance contractual (SPEC-025) y su sprint destino.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Definir el alcance de auditoría/notificación retroactiva por la vulnerabilidad crítica de escalada de privilegios cerrada en ADR-134.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Aprobar el rebaseline de Operaciones de Campo como proyecto derivado: product owner, equipo y presupuesto de piloto.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Autorizar pentest externo, simulacro DR y UAT con fechas y proveedores concretos.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Autorizar la ventana de despliegue productivo para las fases 6-8/13 de ADR-131.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Definir postura comercial sobre Enterprise LATAM (ADR-035 F1-F4) y sobre la validación externa de RUC/SUNAT.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Contar con soporte y recursos de IA acordes con la complejidad y los requerimientos del proyecto.</w:t>
      </w:r>
    </w:p>
    <w:p>
      <w:pPr>
        <w:pStyle w:val="Heading1"/>
        <w:spacing w:after="160" w:before="360"/>
      </w:pPr>
      <w:r>
        <w:t xml:space="preserve">11. Fuentes de verdad posteriores a esta actualización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ADR: docs/decisions/README.md y ADR-000–136.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Matriz: specs/REGISTRY.md.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Backlog y métrica: specs/BACKLOG.md y scripts/project-status-metrics.ps1 (Cutoff ya no hardcodeado).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Cronograma contractual: docs_/01_Planificacion/Cronograma_Maestro_AURIXA_v36.md.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sz w:val="22"/>
          <w:szCs w:val="22"/>
        </w:rPr>
        <w:t xml:space="preserve">Presentación ejecutiva: docs_/01_Planificacion/Cronograma_Actualizado_Presentacion_Gerencia_TI_2026-08-30.pptx.</w:t>
      </w:r>
    </w:p>
    <w:tbl>
      <w:tblPr>
        <w:tblW w:type="pct" w:w="100%"/>
        <w:tblBorders>
          <w:top w:val="single" w:color="EEF2F7" w:sz="4"/>
          <w:left w:val="single" w:color="EEF2F7" w:sz="4"/>
          <w:bottom w:val="single" w:color="EEF2F7" w:sz="4"/>
          <w:right w:val="single" w:color="EEF2F7" w:sz="4"/>
          <w:insideH w:val="none"/>
          <w:insideV w:val="none"/>
        </w:tblBorders>
      </w:tblPr>
      <w:tblGrid>
        <w:gridCol w:w="100"/>
      </w:tblGrid>
      <w:tr>
        <w:tc>
          <w:tcPr>
            <w:shd w:fill="EEF2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2"/>
                <w:szCs w:val="22"/>
              </w:rPr>
              <w:t xml:space="preserve">Regla de actualización</w:t>
            </w:r>
          </w:p>
          <w:p>
            <w:pPr>
              <w:spacing w:line="280"/>
            </w:pPr>
            <w:r>
              <w:rPr>
                <w:rFonts w:ascii="Calibri" w:cs="Calibri" w:eastAsia="Calibri" w:hAnsi="Calibri"/>
                <w:color w:val="1A1A1A"/>
                <w:sz w:val="21"/>
                <w:szCs w:val="21"/>
              </w:rPr>
              <w:t xml:space="preserve">Cada viernes se ejecuta el script de métricas, se adjunta evidencia de pruebas y se cambia un porcentaje solo cuando cambia una tarea/CA. Próximo corte: viernes 04-sep-2026, tras el cierre del gate R3.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672"/>
        <w:sz w:val="16"/>
        <w:szCs w:val="16"/>
      </w:rPr>
      <w:t xml:space="preserve">Beemetry — Plataforma Minera  |  Corte 30-ago-2026  |  Confidencial — uso interno Gerencia / TI  |  Pág. </w:t>
    </w:r>
    <w:r>
      <w:rPr>
        <w:rFonts w:ascii="Calibri" w:cs="Calibri" w:eastAsia="Calibri" w:hAnsi="Calibri"/>
        <w:color w:val="5B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B6672"/>
        <w:sz w:val="16"/>
        <w:szCs w:val="16"/>
      </w:rPr>
      <w:t xml:space="preserve"> de </w:t>
    </w:r>
    <w:r>
      <w:rPr>
        <w:rFonts w:ascii="Calibri" w:cs="Calibri" w:eastAsia="Calibri" w:hAnsi="Calibri"/>
        <w:color w:val="5B66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B6672"/>
        <w:sz w:val="16"/>
        <w:szCs w:val="16"/>
      </w:rPr>
      <w:t xml:space="preserve">Informe de estado — Plataforma Minera Beemetry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D7D31" w:sz="6" w:space="6"/>
      </w:pBdr>
      <w:spacing w:after="160" w:before="360"/>
    </w:pPr>
    <w:rPr>
      <w:rFonts w:ascii="Calibri" w:cs="Calibri" w:eastAsia="Calibri" w:hAnsi="Calibri"/>
      <w:b/>
      <w:bCs/>
      <w:color w:val="162B4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c901d077a94471f6902ad2773a1aa74d9c46d5f.png"/><Relationship Id="rId10" Type="http://schemas.openxmlformats.org/officeDocument/2006/relationships/image" Target="media/afb106c126731238786e746c946031bb64810d73.png"/><Relationship Id="rId11" Type="http://schemas.openxmlformats.org/officeDocument/2006/relationships/image" Target="media/f98a3ab5456482e8aaa92adc648ac98d7a7c55a3.png"/><Relationship Id="rId12" Type="http://schemas.openxmlformats.org/officeDocument/2006/relationships/image" Target="media/8c4f07d69376809323104f783456532e0402e68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2026-08-30T10:52:39.781Z</dcterms:created>
  <dcterms:modified xsi:type="dcterms:W3CDTF">2026-08-30T10:52:39.782Z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