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Plataforma InformeCliente — Matriz funcional para presentación</w:t>
      </w:r>
    </w:p>
    <w:p>
      <w:pPr>
        <w:jc w:val="center"/>
      </w:pPr>
      <w:r>
        <w:rPr>
          <w:i/>
          <w:sz w:val="22"/>
        </w:rPr>
        <w:t>Estado implementado, brechas y alineación con referencia IoT (ThingsBoard)</w:t>
        <w:br/>
        <w:t>Fecha de documento: abril 2026</w:t>
      </w:r>
    </w:p>
    <w:p/>
    <w:p>
      <w:pPr>
        <w:pStyle w:val="Heading1"/>
      </w:pPr>
      <w:r>
        <w:t>1. Contexto ejecutivo</w:t>
      </w:r>
    </w:p>
    <w:p>
      <w:r>
        <w:t>InformeCliente es la plataforma vertical de la operación minera: autenticación (incluida verificación facial asistida por IA), monitoreo, cartografía, motor de fórmulas, informes técnicos y despliegue en contenedores Docker.</w:t>
      </w:r>
    </w:p>
    <w:p>
      <w:r>
        <w:t>ThingsBoard (código de referencia en C:\thingsboard-master) es una plataforma IoT de mercado: dispositivos y activos, telemetría, dashboards, motor de reglas, alarmas, notificaciones y modelo multi-tenant. No sustituye los informes corporativos ni el flujo biométrico propio; sirve como referencia para decidir qué capacidades IoT/operación se desean igualar, integrar o mantener en desarrollo propio.</w:t>
      </w:r>
    </w:p>
    <w:p>
      <w:pPr>
        <w:pStyle w:val="Heading1"/>
      </w:pPr>
      <w:r>
        <w:t>2. Funcionalidades actuales (por módulo)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"/>
        <w:gridCol w:w="180"/>
        <w:gridCol w:w="180"/>
        <w:gridCol w:w="180"/>
        <w:gridCol w:w="180"/>
      </w:tblGrid>
      <w:tr>
        <w:tc>
          <w:tcPr>
            <w:tcW w:type="dxa" w:w="1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ofrece al usuario / negocio</w:t>
            </w:r>
          </w:p>
        </w:tc>
        <w:tc>
          <w:tcPr>
            <w:tcW w:type="dxa" w:w="1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 / componente</w:t>
            </w:r>
          </w:p>
        </w:tc>
        <w:tc>
          <w:tcPr>
            <w:tcW w:type="dxa" w:w="1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Acceso con usuario y contraseña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Frontend AuthGateway · Backend /api/auth/login/password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Inicio de sesión estándar vinculado a empresa/usuario.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Acceso con reconocimiento facial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Frontend auth · Backend login/registro facial · Servicio ai_engine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Registro y login con plantilla facial y validaciones asistidas por IA.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Alta de usuario y validación de empresa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register/validate-company · BD auth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Registro y comprobación de datos de compañía.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Catálogo de empresas para auth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/api/auth/companies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Soporte a flujos de login por compañía.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Auditoría de accesos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Frontend AuditCenter · Backend /api/auth/audit (+ export CSV)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Traza de eventos de autenticación para cumplimiento y TI.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Panel ejecutivo y KPIs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MiningDashboard · /api/dashboard/metrics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Resumen operativo y métricas agregadas.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 (revisar datos demo/fallback por entorno)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Telemetría y sensores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AdvancedSensors · /api/sensors/data · Timescale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Visualización de series y estado de instrumentación.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 / parcial unificación multi-sitio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Mapa base y mapa HD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MapViewer, DetailedMap · tileserver · /api/map/markers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Mapas y capas MBTiles de alta resolución.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Captura desde mapa hacia informe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Mapas + ReportStudio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Inserción de imagen de mapa en informe.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 (evidencia como activo auditable: mejorable)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Conversión geoespacial (p. ej. ECW → MBTiles)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/api/convert, /api/jobs/{id}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Jobs de conversión para alimentar el visor.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Vigilancia / cámaras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VideoDiagram · /api/surveillance/cameras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Referencia a fuentes de video en el tablero.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Vista 3D / gemelo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Viewer3D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Visualización 3D del contexto minero.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Gráficos geotécnicos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Inclinómetros, desplazamientos, azimuth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Análisis de estabilidad y movimiento.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Motor de fórmulas mineras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FormulaEngineEmbed · formula_engine · /api/formula y /api/analysis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Catálogos, análisis (p. ej. temperaturas), flujo de ingeniería.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Informes técnicos y corporativos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Report, ReportStudioV2 · CRUD /api/reports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Editor multipágina, plantillas, bloques; ciclo de vida en evolución.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 con brechas multiempresa y metadatos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Mantenimiento de usuarios en UI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UserMaintenanceModal (y almacenamiento local en parte)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Administración de usuarios de empresa desde la aplicación.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Parcial — cerrar con API y auditoría central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Despliegue Docker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docker-compose: db, web, frontend, ai_engine, formula_*, tileserver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Entorno reproducible para TI.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Implementado</w:t>
            </w:r>
          </w:p>
        </w:tc>
      </w:tr>
    </w:tbl>
    <w:p/>
    <w:p>
      <w:pPr>
        <w:pStyle w:val="Heading1"/>
      </w:pPr>
      <w:r>
        <w:t>3. Necesidades y brechas (prioridad)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"/>
        <w:gridCol w:w="180"/>
        <w:gridCol w:w="180"/>
        <w:gridCol w:w="180"/>
        <w:gridCol w:w="180"/>
      </w:tblGrid>
      <w:tr>
        <w:tc>
          <w:tcPr>
            <w:tcW w:type="dxa" w:w="1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0"/>
            <w:shd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Gobierno multiempresa en informes y datos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web + PostgreSQL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Filtrado estricto por tenant/empresa; metadatos created_by, revisión, versión.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Usuarios administrables de forma central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Auth API + ReportStudio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Listado, mantenimiento y auditoría sin depender de localStorage para lo crítico.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Ciclo de vida documental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+ ReportStudioV2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Estados (borrador, revisión, aprobado), roles e historial.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Compartir informes con registro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+ report_shares / notificaciones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Compartición persistente y trazable, no solo simulada en UI.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P1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Evidencias de mapa auditables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+ almacenamiento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Captura con usuario, tiempo, contexto geográfico y vínculo al informe.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P2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API unificada de telemetría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Backend + Timescale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Filtros por sitio/tenant, paginación y rangos (patrón tipo Device/Asset).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P1–P2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Hardening seguridad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Infra, secretos, TLS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Sin secretos en repositorio; gestión formal de credenciales y certificados.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P0</w:t>
            </w:r>
          </w:p>
        </w:tc>
      </w:tr>
      <w:tr>
        <w:tc>
          <w:tcPr>
            <w:tcW w:type="dxa" w:w="1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Contrato API y pruebas E2E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Transversal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OpenAPI y pruebas end-to-end sobre backend real.</w:t>
            </w:r>
          </w:p>
        </w:tc>
        <w:tc>
          <w:tcPr>
            <w:tcW w:type="dxa" w:w="180"/>
          </w:tcPr>
          <w:p>
            <w:r>
              <w:rPr>
                <w:sz w:val="16"/>
              </w:rPr>
              <w:t>P1</w:t>
            </w:r>
          </w:p>
        </w:tc>
      </w:tr>
    </w:tbl>
    <w:p/>
    <w:p>
      <w:pPr>
        <w:pStyle w:val="Heading1"/>
      </w:pPr>
      <w:r>
        <w:t>4. Alineación con ThingsBoard (referencia)</w:t>
      </w:r>
    </w:p>
    <w:p>
      <w:r>
        <w:t>ThingsBoard aporta patrones de producto IoT. La columna derecha indica la orientación en InformeCliente (desarrollo propio o integración futura).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"/>
        <w:gridCol w:w="300"/>
        <w:gridCol w:w="300"/>
      </w:tblGrid>
      <w:tr>
        <w:tc>
          <w:tcPr>
            <w:tcW w:type="dxa" w:w="300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 (ThingsBoard)</w:t>
            </w:r>
          </w:p>
        </w:tc>
        <w:tc>
          <w:tcPr>
            <w:tcW w:type="dxa" w:w="300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Equivalente hoy en InformeCliente</w:t>
            </w:r>
          </w:p>
        </w:tc>
        <w:tc>
          <w:tcPr>
            <w:tcW w:type="dxa" w:w="300"/>
            <w:shd w:fill="37562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Línea de acción propuesta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Tenant / Customer / jerarquía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Empresa y sesión en auth; esquema telemetría en BD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Modelo explícito tenant → sitio → activo/sensor en API y UI; alinear con informes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Device / Asset y relaciones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Sensores y proyectos vía API y SQL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Catálogo gobernado y relaciones (sensor ↔ frente ↔ informe)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Telemetría y almacenamiento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/api/sensors/data, Timescale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Normalización, retención, calidad; opción puente MQTT/HTTP o integración TB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Dashboards tiempo real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MiningDashboard y gráficos propios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Widgets avanzados o embed de dashboards TB si se adopta como capa IoT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Rule engine y alarmas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Sin equivalente completo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Motor de umbrales/escalamiento propio o TB dedicado a alarmística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Notificaciones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Esquema en evolución para informes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Política única: TB para IoT + backend propio para documentos, o bus común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SCADA / control industrial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No como producto genérico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Solo si negocio lo exige; TB como referencia de UI/alarma</w:t>
            </w:r>
          </w:p>
        </w:tc>
      </w:tr>
      <w:tr>
        <w:tc>
          <w:tcPr>
            <w:tcW w:type="dxa" w:w="300"/>
          </w:tcPr>
          <w:p>
            <w:r>
              <w:rPr>
                <w:sz w:val="16"/>
              </w:rPr>
              <w:t>Provisioning de dispositivos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Limitado frente a TB</w:t>
            </w:r>
          </w:p>
        </w:tc>
        <w:tc>
          <w:tcPr>
            <w:tcW w:type="dxa" w:w="300"/>
          </w:tcPr>
          <w:p>
            <w:r>
              <w:rPr>
                <w:sz w:val="16"/>
              </w:rPr>
              <w:t>Definir fuente de verdad: InformeCliente, TB o modelo híbrido</w:t>
            </w:r>
          </w:p>
        </w:tc>
      </w:tr>
    </w:tbl>
    <w:p/>
    <w:p>
      <w:pPr>
        <w:pStyle w:val="Heading1"/>
      </w:pPr>
      <w:r>
        <w:t>5. Resumen: usuario de empresa vs gerencia 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"/>
        <w:gridCol w:w="450"/>
      </w:tblGrid>
      <w:tr>
        <w:tc>
          <w:tcPr>
            <w:tcW w:type="dxa" w:w="450"/>
            <w:shd w:fill="7030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Usuario de la empresa</w:t>
            </w:r>
          </w:p>
        </w:tc>
        <w:tc>
          <w:tcPr>
            <w:tcW w:type="dxa" w:w="450"/>
            <w:shd w:fill="7030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Gerencia TI</w:t>
            </w:r>
          </w:p>
        </w:tc>
      </w:tr>
      <w:tr>
        <w:tc>
          <w:tcPr>
            <w:tcW w:type="dxa" w:w="450"/>
          </w:tcPr>
          <w:p>
            <w:r>
              <w:rPr>
                <w:sz w:val="16"/>
              </w:rPr>
              <w:t>Una sola entrada: login seguro y, si aplica, reconocimiento facial.</w:t>
            </w:r>
          </w:p>
        </w:tc>
        <w:tc>
          <w:tcPr>
            <w:tcW w:type="dxa" w:w="450"/>
          </w:tcPr>
          <w:p>
            <w:r>
              <w:rPr>
                <w:sz w:val="16"/>
              </w:rPr>
              <w:t>Rutas de auth auditables; revisar secretos y certificados en despliegue.</w:t>
            </w:r>
          </w:p>
        </w:tc>
      </w:tr>
      <w:tr>
        <w:tc>
          <w:tcPr>
            <w:tcW w:type="dxa" w:w="450"/>
          </w:tcPr>
          <w:p>
            <w:r>
              <w:rPr>
                <w:sz w:val="16"/>
              </w:rPr>
              <w:t>Tableros, sensores, mapas e informes en un mismo entorno.</w:t>
            </w:r>
          </w:p>
        </w:tc>
        <w:tc>
          <w:tcPr>
            <w:tcW w:type="dxa" w:w="450"/>
          </w:tcPr>
          <w:p>
            <w:r>
              <w:rPr>
                <w:sz w:val="16"/>
              </w:rPr>
              <w:t>Stack Docker modular; plan de escala, backups y monitoreo.</w:t>
            </w:r>
          </w:p>
        </w:tc>
      </w:tr>
      <w:tr>
        <w:tc>
          <w:tcPr>
            <w:tcW w:type="dxa" w:w="450"/>
          </w:tcPr>
          <w:p>
            <w:r>
              <w:rPr>
                <w:sz w:val="16"/>
              </w:rPr>
              <w:t>Informes técnicos y corporativos desde el navegador.</w:t>
            </w:r>
          </w:p>
        </w:tc>
        <w:tc>
          <w:tcPr>
            <w:tcW w:type="dxa" w:w="450"/>
          </w:tcPr>
          <w:p>
            <w:r>
              <w:rPr>
                <w:sz w:val="16"/>
              </w:rPr>
              <w:t>Cerrar multiempresa y ciclo de vida documental en backend antes de producción fuerte.</w:t>
            </w:r>
          </w:p>
        </w:tc>
      </w:tr>
      <w:tr>
        <w:tc>
          <w:tcPr>
            <w:tcW w:type="dxa" w:w="450"/>
          </w:tcPr>
          <w:p>
            <w:r>
              <w:rPr>
                <w:sz w:val="16"/>
              </w:rPr>
              <w:t>Motor de fórmulas para análisis de ingeniería.</w:t>
            </w:r>
          </w:p>
        </w:tc>
        <w:tc>
          <w:tcPr>
            <w:tcW w:type="dxa" w:w="450"/>
          </w:tcPr>
          <w:p>
            <w:r>
              <w:rPr>
                <w:sz w:val="16"/>
              </w:rPr>
              <w:t>formula_engine + PostgreSQL dedicado; continuidad operativa y respaldos.</w:t>
            </w:r>
          </w:p>
        </w:tc>
      </w:tr>
      <w:tr>
        <w:tc>
          <w:tcPr>
            <w:tcW w:type="dxa" w:w="450"/>
          </w:tcPr>
          <w:p>
            <w:r>
              <w:rPr>
                <w:sz w:val="16"/>
              </w:rPr>
              <w:t>Mapas de alta resolución y conversiones geoespaciales.</w:t>
            </w:r>
          </w:p>
        </w:tc>
        <w:tc>
          <w:tcPr>
            <w:tcW w:type="dxa" w:w="450"/>
          </w:tcPr>
          <w:p>
            <w:r>
              <w:rPr>
                <w:sz w:val="16"/>
              </w:rPr>
              <w:t>tileserver, volúmenes de datos y jobs de conversión bajo supervisión.</w:t>
            </w:r>
          </w:p>
        </w:tc>
      </w:tr>
    </w:tbl>
    <w:p/>
    <w:p>
      <w:pPr>
        <w:pStyle w:val="Heading1"/>
      </w:pPr>
      <w:r>
        <w:t>6. Decisión estratégica sugerida para la reunión</w:t>
      </w:r>
    </w:p>
    <w:p>
      <w:r>
        <w:t>Integrar ThingsBoard como capa IoT (telemetría, alarmas, dashboards de dispositivos) manteniendo InformeCliente como capa de negocio, informes y biométrica — frente a — replicar solo patrones de ThingsBoard sin desplegarlo, ampliando reglas y telemetría en el backend propio. La tabla 4 ayuda a alinear expectativas entre negocio y TI.</w:t>
      </w:r>
    </w:p>
    <w:sectPr w:rsidR="00FC693F" w:rsidRPr="0006063C" w:rsidSect="00034616">
      <w:pgSz w:w="12240" w:h="15840"/>
      <w:pgMar w:top="4536" w:right="5670" w:bottom="4536" w:left="56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