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ANEXO DE RIESGOS Y MITIGACIONES</w:t>
      </w:r>
    </w:p>
    <w:p>
      <w:pPr>
        <w:jc w:val="center"/>
      </w:pPr>
      <w:r>
        <w:rPr>
          <w:b/>
          <w:color w:val="0C6866"/>
          <w:sz w:val="26"/>
        </w:rPr>
        <w:t>Portafolio IA Minera 2026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ANEXO DE RIESGOS Y MITIGACIONES</w:t>
      </w:r>
    </w:p>
    <w:p>
      <w:pPr>
        <w:pStyle w:val="Heading1"/>
      </w:pPr>
      <w:r>
        <w:t>Portafolio IA Minera 2026</w:t>
      </w:r>
    </w:p>
    <w:p>
      <w:pPr>
        <w:spacing w:after="120"/>
      </w:pPr>
      <w:r>
        <w:rPr>
          <w:rFonts w:ascii="Calibri" w:hAnsi="Calibri"/>
          <w:sz w:val="21"/>
        </w:rPr>
        <w:t>Fecha: 15 de mayo de 2026</w:t>
      </w:r>
    </w:p>
    <w:p>
      <w:pPr>
        <w:spacing w:after="120"/>
      </w:pPr>
      <w:r>
        <w:rPr>
          <w:rFonts w:ascii="Calibri" w:hAnsi="Calibri"/>
          <w:sz w:val="21"/>
        </w:rPr>
        <w:t>Dirigido a: Gerencia General, Directorio y Gerencia TI</w:t>
      </w:r>
    </w:p>
    <w:p>
      <w:pPr>
        <w:spacing w:after="120"/>
      </w:pPr>
      <w:r>
        <w:rPr>
          <w:rFonts w:ascii="Calibri" w:hAnsi="Calibri"/>
          <w:sz w:val="21"/>
        </w:rPr>
        <w:t>Objetivo: documentar los principales riesgos de adopcion del portafolio IA propuesto y las mitigaciones sugeridas para aprobacion ejecutiva.</w:t>
      </w:r>
    </w:p>
    <w:p>
      <w:pPr>
        <w:pStyle w:val="Heading1"/>
      </w:pPr>
      <w:r>
        <w:t>1. Lectura ejecutiva</w:t>
      </w:r>
    </w:p>
    <w:p>
      <w:pPr>
        <w:spacing w:after="120"/>
      </w:pPr>
      <w:r>
        <w:rPr>
          <w:rFonts w:ascii="Calibri" w:hAnsi="Calibri"/>
          <w:sz w:val="21"/>
        </w:rPr>
        <w:t>El riesgo principal no es adoptar IA, sino hacerlo sin gobierno, sin control de costo, sin politicas de datos y sin una secuencia de implementacion disciplinada. La estrategia recomendada reduce ese riesgo mediante un gateway comun, control de acceso, observabilidad y adopcion por fases.</w:t>
      </w:r>
    </w:p>
    <w:p>
      <w:pPr>
        <w:pStyle w:val="Heading1"/>
      </w:pPr>
      <w:r>
        <w:t>2. Riesgos principales</w:t>
      </w:r>
    </w:p>
    <w:p>
      <w:pPr>
        <w:pStyle w:val="Heading2"/>
      </w:pPr>
      <w:r>
        <w:t>Riesgo 1. Dispersion de proveedores y complejidad de integracion</w:t>
      </w:r>
    </w:p>
    <w:p>
      <w:pPr>
        <w:spacing w:after="120"/>
      </w:pPr>
      <w:r>
        <w:rPr>
          <w:rFonts w:ascii="Calibri" w:hAnsi="Calibri"/>
          <w:sz w:val="21"/>
        </w:rPr>
        <w:t>Descripcion: la empresa puede terminar usando multiples proveedores, copilotos y modelos sin control central, generando duplicidad de gasto, integraciones inconsistentes y dificultad para auditar decisiones.</w:t>
      </w:r>
    </w:p>
    <w:p>
      <w:pPr>
        <w:spacing w:after="120"/>
      </w:pPr>
      <w:r>
        <w:rPr>
          <w:rFonts w:ascii="Calibri" w:hAnsi="Calibri"/>
          <w:sz w:val="21"/>
        </w:rPr>
        <w:t>Impacto:</w:t>
      </w:r>
    </w:p>
    <w:p>
      <w:pPr>
        <w:pStyle w:val="ListNumber"/>
      </w:pPr>
      <w:r>
        <w:rPr>
          <w:rFonts w:ascii="Calibri" w:hAnsi="Calibri"/>
          <w:sz w:val="21"/>
        </w:rPr>
        <w:t>Mayor complejidad operativa.</w:t>
      </w:r>
    </w:p>
    <w:p>
      <w:pPr>
        <w:pStyle w:val="ListNumber"/>
      </w:pPr>
      <w:r>
        <w:rPr>
          <w:rFonts w:ascii="Calibri" w:hAnsi="Calibri"/>
          <w:sz w:val="21"/>
        </w:rPr>
        <w:t>Dificultad para comparar costo-rendimiento.</w:t>
      </w:r>
    </w:p>
    <w:p>
      <w:pPr>
        <w:pStyle w:val="ListNumber"/>
      </w:pPr>
      <w:r>
        <w:rPr>
          <w:rFonts w:ascii="Calibri" w:hAnsi="Calibri"/>
          <w:sz w:val="21"/>
        </w:rPr>
        <w:t>Riesgo de fragmentacion tecnica entre equipos.</w:t>
      </w:r>
    </w:p>
    <w:p>
      <w:pPr>
        <w:spacing w:after="120"/>
      </w:pPr>
      <w:r>
        <w:rPr>
          <w:rFonts w:ascii="Calibri" w:hAnsi="Calibri"/>
          <w:sz w:val="21"/>
        </w:rPr>
        <w:t>Mitigaciones:</w:t>
      </w:r>
    </w:p>
    <w:p>
      <w:pPr>
        <w:pStyle w:val="ListNumber"/>
      </w:pPr>
      <w:r>
        <w:rPr>
          <w:rFonts w:ascii="Calibri" w:hAnsi="Calibri"/>
          <w:sz w:val="21"/>
        </w:rPr>
        <w:t>Implementar un gateway IA unico para acceso a modelos.</w:t>
      </w:r>
    </w:p>
    <w:p>
      <w:pPr>
        <w:pStyle w:val="ListNumber"/>
      </w:pPr>
      <w:r>
        <w:rPr>
          <w:rFonts w:ascii="Calibri" w:hAnsi="Calibri"/>
          <w:sz w:val="21"/>
        </w:rPr>
        <w:t>Definir un catalogo corporativo de proveedores aprobados.</w:t>
      </w:r>
    </w:p>
    <w:p>
      <w:pPr>
        <w:pStyle w:val="ListNumber"/>
      </w:pPr>
      <w:r>
        <w:rPr>
          <w:rFonts w:ascii="Calibri" w:hAnsi="Calibri"/>
          <w:sz w:val="21"/>
        </w:rPr>
        <w:t>Establecer comite quincenal de arquitectura y consumo.</w:t>
      </w:r>
    </w:p>
    <w:p>
      <w:pPr>
        <w:pStyle w:val="Heading2"/>
      </w:pPr>
      <w:r>
        <w:t>Riesgo 2. Sobrecosto por consumo de API y herramientas premium</w:t>
      </w:r>
    </w:p>
    <w:p>
      <w:pPr>
        <w:spacing w:after="120"/>
      </w:pPr>
      <w:r>
        <w:rPr>
          <w:rFonts w:ascii="Calibri" w:hAnsi="Calibri"/>
          <w:sz w:val="21"/>
        </w:rPr>
        <w:t>Descripcion: sin cuotas, routing y seguimiento de uso, el consumo puede crecer rapidamente por prompts largos, cargas de RAG, uso intensivo de modelos premium y licencias subutilizadas.</w:t>
      </w:r>
    </w:p>
    <w:p>
      <w:pPr>
        <w:spacing w:after="120"/>
      </w:pPr>
      <w:r>
        <w:rPr>
          <w:rFonts w:ascii="Calibri" w:hAnsi="Calibri"/>
          <w:sz w:val="21"/>
        </w:rPr>
        <w:t>Impacto:</w:t>
      </w:r>
    </w:p>
    <w:p>
      <w:pPr>
        <w:pStyle w:val="ListNumber"/>
      </w:pPr>
      <w:r>
        <w:rPr>
          <w:rFonts w:ascii="Calibri" w:hAnsi="Calibri"/>
          <w:sz w:val="21"/>
        </w:rPr>
        <w:t>Desviacion del presupuesto aprobado.</w:t>
      </w:r>
    </w:p>
    <w:p>
      <w:pPr>
        <w:pStyle w:val="ListNumber"/>
      </w:pPr>
      <w:r>
        <w:rPr>
          <w:rFonts w:ascii="Calibri" w:hAnsi="Calibri"/>
          <w:sz w:val="21"/>
        </w:rPr>
        <w:t>Dificultad para justificar ROI.</w:t>
      </w:r>
    </w:p>
    <w:p>
      <w:pPr>
        <w:pStyle w:val="ListNumber"/>
      </w:pPr>
      <w:r>
        <w:rPr>
          <w:rFonts w:ascii="Calibri" w:hAnsi="Calibri"/>
          <w:sz w:val="21"/>
        </w:rPr>
        <w:t>Rechazo ejecutivo por percepcion de gasto no controlado.</w:t>
      </w:r>
    </w:p>
    <w:p>
      <w:pPr>
        <w:spacing w:after="120"/>
      </w:pPr>
      <w:r>
        <w:rPr>
          <w:rFonts w:ascii="Calibri" w:hAnsi="Calibri"/>
          <w:sz w:val="21"/>
        </w:rPr>
        <w:t>Mitigaciones:</w:t>
      </w:r>
    </w:p>
    <w:p>
      <w:pPr>
        <w:pStyle w:val="ListNumber"/>
      </w:pPr>
      <w:r>
        <w:rPr>
          <w:rFonts w:ascii="Calibri" w:hAnsi="Calibri"/>
          <w:sz w:val="21"/>
        </w:rPr>
        <w:t>Asignar cuotas por equipo y entorno.</w:t>
      </w:r>
    </w:p>
    <w:p>
      <w:pPr>
        <w:pStyle w:val="ListNumber"/>
      </w:pPr>
      <w:r>
        <w:rPr>
          <w:rFonts w:ascii="Calibri" w:hAnsi="Calibri"/>
          <w:sz w:val="21"/>
        </w:rPr>
        <w:t>Aplicar routing por costo y criticidad del caso de uso.</w:t>
      </w:r>
    </w:p>
    <w:p>
      <w:pPr>
        <w:pStyle w:val="ListNumber"/>
      </w:pPr>
      <w:r>
        <w:rPr>
          <w:rFonts w:ascii="Calibri" w:hAnsi="Calibri"/>
          <w:sz w:val="21"/>
        </w:rPr>
        <w:t>Medir consumo, cache y ahorro por trimestre.</w:t>
      </w:r>
    </w:p>
    <w:p>
      <w:pPr>
        <w:pStyle w:val="Heading2"/>
      </w:pPr>
      <w:r>
        <w:t>Riesgo 3. Fuga de datos o uso no gobernado</w:t>
      </w:r>
    </w:p>
    <w:p>
      <w:pPr>
        <w:spacing w:after="120"/>
      </w:pPr>
      <w:r>
        <w:rPr>
          <w:rFonts w:ascii="Calibri" w:hAnsi="Calibri"/>
          <w:sz w:val="21"/>
        </w:rPr>
        <w:t>Descripcion: el uso de herramientas IA sin politicas claras puede exponer documentos, codigo, telemetria, datos personales o informacion sensible de la operacion minera.</w:t>
      </w:r>
    </w:p>
    <w:p>
      <w:pPr>
        <w:spacing w:after="120"/>
      </w:pPr>
      <w:r>
        <w:rPr>
          <w:rFonts w:ascii="Calibri" w:hAnsi="Calibri"/>
          <w:sz w:val="21"/>
        </w:rPr>
        <w:t>Impacto:</w:t>
      </w:r>
    </w:p>
    <w:p>
      <w:pPr>
        <w:pStyle w:val="ListNumber"/>
      </w:pPr>
      <w:r>
        <w:rPr>
          <w:rFonts w:ascii="Calibri" w:hAnsi="Calibri"/>
          <w:sz w:val="21"/>
        </w:rPr>
        <w:t>Riesgo legal, reputacional y contractual.</w:t>
      </w:r>
    </w:p>
    <w:p>
      <w:pPr>
        <w:pStyle w:val="ListNumber"/>
      </w:pPr>
      <w:r>
        <w:rPr>
          <w:rFonts w:ascii="Calibri" w:hAnsi="Calibri"/>
          <w:sz w:val="21"/>
        </w:rPr>
        <w:t>Exposicion de informacion operativa o biometrica.</w:t>
      </w:r>
    </w:p>
    <w:p>
      <w:pPr>
        <w:pStyle w:val="ListNumber"/>
      </w:pPr>
      <w:r>
        <w:rPr>
          <w:rFonts w:ascii="Calibri" w:hAnsi="Calibri"/>
          <w:sz w:val="21"/>
        </w:rPr>
        <w:t>Observaciones de auditoria interna o externa.</w:t>
      </w:r>
    </w:p>
    <w:p>
      <w:pPr>
        <w:spacing w:after="120"/>
      </w:pPr>
      <w:r>
        <w:rPr>
          <w:rFonts w:ascii="Calibri" w:hAnsi="Calibri"/>
          <w:sz w:val="21"/>
        </w:rPr>
        <w:t>Mitigaciones:</w:t>
      </w:r>
    </w:p>
    <w:p>
      <w:pPr>
        <w:pStyle w:val="ListNumber"/>
      </w:pPr>
      <w:r>
        <w:rPr>
          <w:rFonts w:ascii="Calibri" w:hAnsi="Calibri"/>
          <w:sz w:val="21"/>
        </w:rPr>
        <w:t>Habilitar SSO, trazabilidad y administracion centralizada.</w:t>
      </w:r>
    </w:p>
    <w:p>
      <w:pPr>
        <w:pStyle w:val="ListNumber"/>
      </w:pPr>
      <w:r>
        <w:rPr>
          <w:rFonts w:ascii="Calibri" w:hAnsi="Calibri"/>
          <w:sz w:val="21"/>
        </w:rPr>
        <w:t>Segmentar casos de uso permitidos y prohibidos.</w:t>
      </w:r>
    </w:p>
    <w:p>
      <w:pPr>
        <w:pStyle w:val="ListNumber"/>
      </w:pPr>
      <w:r>
        <w:rPr>
          <w:rFonts w:ascii="Calibri" w:hAnsi="Calibri"/>
          <w:sz w:val="21"/>
        </w:rPr>
        <w:t>Separar ambientes de prueba, desarrollo y operacion.</w:t>
      </w:r>
    </w:p>
    <w:p>
      <w:pPr>
        <w:pStyle w:val="Heading2"/>
      </w:pPr>
      <w:r>
        <w:t>Riesgo 4. Baja adopcion o uso superficial</w:t>
      </w:r>
    </w:p>
    <w:p>
      <w:pPr>
        <w:spacing w:after="120"/>
      </w:pPr>
      <w:r>
        <w:rPr>
          <w:rFonts w:ascii="Calibri" w:hAnsi="Calibri"/>
          <w:sz w:val="21"/>
        </w:rPr>
        <w:t>Descripcion: si la organizacion compra licencias pero no acompana con flujos, playbooks, responsables y medicion, el uso real puede ser bajo o improductivo.</w:t>
      </w:r>
    </w:p>
    <w:p>
      <w:pPr>
        <w:spacing w:after="120"/>
      </w:pPr>
      <w:r>
        <w:rPr>
          <w:rFonts w:ascii="Calibri" w:hAnsi="Calibri"/>
          <w:sz w:val="21"/>
        </w:rPr>
        <w:t>Impacto:</w:t>
      </w:r>
    </w:p>
    <w:p>
      <w:pPr>
        <w:pStyle w:val="ListNumber"/>
      </w:pPr>
      <w:r>
        <w:rPr>
          <w:rFonts w:ascii="Calibri" w:hAnsi="Calibri"/>
          <w:sz w:val="21"/>
        </w:rPr>
        <w:t>Baja captura de valor.</w:t>
      </w:r>
    </w:p>
    <w:p>
      <w:pPr>
        <w:pStyle w:val="ListNumber"/>
      </w:pPr>
      <w:r>
        <w:rPr>
          <w:rFonts w:ascii="Calibri" w:hAnsi="Calibri"/>
          <w:sz w:val="21"/>
        </w:rPr>
        <w:t>Resistencia del equipo a estandarizar nuevas practicas.</w:t>
      </w:r>
    </w:p>
    <w:p>
      <w:pPr>
        <w:pStyle w:val="ListNumber"/>
      </w:pPr>
      <w:r>
        <w:rPr>
          <w:rFonts w:ascii="Calibri" w:hAnsi="Calibri"/>
          <w:sz w:val="21"/>
        </w:rPr>
        <w:t>Deterioro de la percepcion del programa frente a gerencia.</w:t>
      </w:r>
    </w:p>
    <w:p>
      <w:pPr>
        <w:spacing w:after="120"/>
      </w:pPr>
      <w:r>
        <w:rPr>
          <w:rFonts w:ascii="Calibri" w:hAnsi="Calibri"/>
          <w:sz w:val="21"/>
        </w:rPr>
        <w:t>Mitigaciones:</w:t>
      </w:r>
    </w:p>
    <w:p>
      <w:pPr>
        <w:pStyle w:val="ListNumber"/>
      </w:pPr>
      <w:r>
        <w:rPr>
          <w:rFonts w:ascii="Calibri" w:hAnsi="Calibri"/>
          <w:sz w:val="21"/>
        </w:rPr>
        <w:t>Ejecutar pilotos controlados por frente funcional.</w:t>
      </w:r>
    </w:p>
    <w:p>
      <w:pPr>
        <w:pStyle w:val="ListNumber"/>
      </w:pPr>
      <w:r>
        <w:rPr>
          <w:rFonts w:ascii="Calibri" w:hAnsi="Calibri"/>
          <w:sz w:val="21"/>
        </w:rPr>
        <w:t>Nombrar owners por arquitectura, desarrollo, operaciones y datos.</w:t>
      </w:r>
    </w:p>
    <w:p>
      <w:pPr>
        <w:pStyle w:val="ListNumber"/>
      </w:pPr>
      <w:r>
        <w:rPr>
          <w:rFonts w:ascii="Calibri" w:hAnsi="Calibri"/>
          <w:sz w:val="21"/>
        </w:rPr>
        <w:t>Medir productividad, adopcion y valor generado por trimestre.</w:t>
      </w:r>
    </w:p>
    <w:p>
      <w:pPr>
        <w:pStyle w:val="Heading2"/>
      </w:pPr>
      <w:r>
        <w:t>Riesgo 5. Escalar demasiado pronto hacia ML propio sin base suficiente</w:t>
      </w:r>
    </w:p>
    <w:p>
      <w:pPr>
        <w:spacing w:after="120"/>
      </w:pPr>
      <w:r>
        <w:rPr>
          <w:rFonts w:ascii="Calibri" w:hAnsi="Calibri"/>
          <w:sz w:val="21"/>
        </w:rPr>
        <w:t>Descripcion: intentar construir prediccion minera avanzada antes de consolidar datos, features, trazabilidad y gobierno puede elevar costo y reducir credibilidad.</w:t>
      </w:r>
    </w:p>
    <w:p>
      <w:pPr>
        <w:spacing w:after="120"/>
      </w:pPr>
      <w:r>
        <w:rPr>
          <w:rFonts w:ascii="Calibri" w:hAnsi="Calibri"/>
          <w:sz w:val="21"/>
        </w:rPr>
        <w:t>Impacto:</w:t>
      </w:r>
    </w:p>
    <w:p>
      <w:pPr>
        <w:pStyle w:val="ListNumber"/>
      </w:pPr>
      <w:r>
        <w:rPr>
          <w:rFonts w:ascii="Calibri" w:hAnsi="Calibri"/>
          <w:sz w:val="21"/>
        </w:rPr>
        <w:t>Fracaso de PoC o modelos sin valor operativo.</w:t>
      </w:r>
    </w:p>
    <w:p>
      <w:pPr>
        <w:pStyle w:val="ListNumber"/>
      </w:pPr>
      <w:r>
        <w:rPr>
          <w:rFonts w:ascii="Calibri" w:hAnsi="Calibri"/>
          <w:sz w:val="21"/>
        </w:rPr>
        <w:t>Costos altos de compute y datos sin resultado usable.</w:t>
      </w:r>
    </w:p>
    <w:p>
      <w:pPr>
        <w:pStyle w:val="ListNumber"/>
      </w:pPr>
      <w:r>
        <w:rPr>
          <w:rFonts w:ascii="Calibri" w:hAnsi="Calibri"/>
          <w:sz w:val="21"/>
        </w:rPr>
        <w:t>Desalineacion entre IA generativa y analitica predictiva.</w:t>
      </w:r>
    </w:p>
    <w:p>
      <w:pPr>
        <w:spacing w:after="120"/>
      </w:pPr>
      <w:r>
        <w:rPr>
          <w:rFonts w:ascii="Calibri" w:hAnsi="Calibri"/>
          <w:sz w:val="21"/>
        </w:rPr>
        <w:t>Mitigaciones:</w:t>
      </w:r>
    </w:p>
    <w:p>
      <w:pPr>
        <w:pStyle w:val="ListNumber"/>
      </w:pPr>
      <w:r>
        <w:rPr>
          <w:rFonts w:ascii="Calibri" w:hAnsi="Calibri"/>
          <w:sz w:val="21"/>
        </w:rPr>
        <w:t>Separar la ruta generativa de la ruta predictiva.</w:t>
      </w:r>
    </w:p>
    <w:p>
      <w:pPr>
        <w:pStyle w:val="ListNumber"/>
      </w:pPr>
      <w:r>
        <w:rPr>
          <w:rFonts w:ascii="Calibri" w:hAnsi="Calibri"/>
          <w:sz w:val="21"/>
        </w:rPr>
        <w:t>Consolidar primero gateway, RAG y observabilidad.</w:t>
      </w:r>
    </w:p>
    <w:p>
      <w:pPr>
        <w:pStyle w:val="ListNumber"/>
      </w:pPr>
      <w:r>
        <w:rPr>
          <w:rFonts w:ascii="Calibri" w:hAnsi="Calibri"/>
          <w:sz w:val="21"/>
        </w:rPr>
        <w:t>Escalar ML propio en T3 y T4 con datasets y ownership claro.</w:t>
      </w:r>
    </w:p>
    <w:p>
      <w:pPr>
        <w:pStyle w:val="Heading1"/>
      </w:pPr>
      <w:r>
        <w:t>3. Recomendacion de gobierno</w:t>
      </w:r>
    </w:p>
    <w:p>
      <w:pPr>
        <w:spacing w:after="120"/>
      </w:pPr>
      <w:r>
        <w:rPr>
          <w:rFonts w:ascii="Calibri" w:hAnsi="Calibri"/>
          <w:sz w:val="21"/>
        </w:rPr>
        <w:t>Se recomienda aprobar el programa bajo cinco controles obligatorios:</w:t>
      </w:r>
    </w:p>
    <w:p>
      <w:pPr>
        <w:pStyle w:val="ListNumber"/>
      </w:pPr>
      <w:r>
        <w:rPr>
          <w:rFonts w:ascii="Calibri" w:hAnsi="Calibri"/>
          <w:sz w:val="21"/>
        </w:rPr>
        <w:t>Gateway IA corporativo.</w:t>
      </w:r>
    </w:p>
    <w:p>
      <w:pPr>
        <w:pStyle w:val="ListNumber"/>
      </w:pPr>
      <w:r>
        <w:rPr>
          <w:rFonts w:ascii="Calibri" w:hAnsi="Calibri"/>
          <w:sz w:val="21"/>
        </w:rPr>
        <w:t>Politica de proveedores y modelos autorizados.</w:t>
      </w:r>
    </w:p>
    <w:p>
      <w:pPr>
        <w:pStyle w:val="ListNumber"/>
      </w:pPr>
      <w:r>
        <w:rPr>
          <w:rFonts w:ascii="Calibri" w:hAnsi="Calibri"/>
          <w:sz w:val="21"/>
        </w:rPr>
        <w:t>Cuotas, FinOps y observabilidad por equipo.</w:t>
      </w:r>
    </w:p>
    <w:p>
      <w:pPr>
        <w:pStyle w:val="ListNumber"/>
      </w:pPr>
      <w:r>
        <w:rPr>
          <w:rFonts w:ascii="Calibri" w:hAnsi="Calibri"/>
          <w:sz w:val="21"/>
        </w:rPr>
        <w:t>Politicas de datos, auditoria y SSO.</w:t>
      </w:r>
    </w:p>
    <w:p>
      <w:pPr>
        <w:pStyle w:val="ListNumber"/>
      </w:pPr>
      <w:r>
        <w:rPr>
          <w:rFonts w:ascii="Calibri" w:hAnsi="Calibri"/>
          <w:sz w:val="21"/>
        </w:rPr>
        <w:t>Revision ejecutiva trimestral de valor, costo y riesgo.</w:t>
      </w:r>
    </w:p>
    <w:p>
      <w:pPr>
        <w:pStyle w:val="Heading1"/>
      </w:pPr>
      <w:r>
        <w:t>4. Conclusion</w:t>
      </w:r>
    </w:p>
    <w:p>
      <w:pPr>
        <w:spacing w:after="120"/>
      </w:pPr>
      <w:r>
        <w:rPr>
          <w:rFonts w:ascii="Calibri" w:hAnsi="Calibri"/>
          <w:sz w:val="21"/>
        </w:rPr>
        <w:t>El portafolio IA recomendado es viable y defendible para la empresa siempre que se implemente como programa gobernado y escalonado. La mitigacion correcta no es reducir ambicion tecnica, sino ordenar la adopcion con reglas, metrica y responsables.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