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SPEECH 60 SEGUNDOS - DEFENSA CIRION + GTD</w:t>
      </w:r>
    </w:p>
    <w:p>
      <w:pPr>
        <w:jc w:val="center"/>
      </w:pPr>
      <w:r>
        <w:rPr>
          <w:b/>
          <w:color w:val="0C6866"/>
          <w:sz w:val="26"/>
        </w:rPr>
        <w:t>Presentacion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SPEECH 60 SEGUNDOS - DEFENSA CIRION + GTD</w:t>
      </w:r>
    </w:p>
    <w:p>
      <w:pPr>
        <w:spacing w:after="120"/>
      </w:pPr>
      <w:r>
        <w:rPr>
          <w:rFonts w:ascii="Calibri" w:hAnsi="Calibri"/>
          <w:sz w:val="21"/>
        </w:rPr>
        <w:t>La recomendacion de arquitectura para AURIXA es trabajar con Cirion como sitio primario y GTD Lurin como sitio secundario.</w:t>
      </w:r>
    </w:p>
    <w:p>
      <w:pPr>
        <w:spacing w:after="120"/>
      </w:pPr>
      <w:r>
        <w:rPr>
          <w:rFonts w:ascii="Calibri" w:hAnsi="Calibri"/>
          <w:sz w:val="21"/>
        </w:rPr>
        <w:t>La razon principal es que esta combinacion entrega el mejor equilibrio entre control, continuidad y resiliencia para una plataforma minera 24x7.</w:t>
      </w:r>
    </w:p>
    <w:p>
      <w:pPr>
        <w:spacing w:after="120"/>
      </w:pPr>
      <w:r>
        <w:rPr>
          <w:rFonts w:ascii="Calibri" w:hAnsi="Calibri"/>
          <w:sz w:val="21"/>
        </w:rPr>
        <w:t>Cirion nos da un entorno fuerte en Lima metropolitana, con perfil enterprise, conectividad y condiciones adecuadas para operar la carga principal. GTD Lurin complementa esa base con una segunda ubicacion robusta, separada y adecuada para contingencia o disaster recovery serio.</w:t>
      </w:r>
    </w:p>
    <w:p>
      <w:pPr>
        <w:spacing w:after="120"/>
      </w:pPr>
      <w:r>
        <w:rPr>
          <w:rFonts w:ascii="Calibri" w:hAnsi="Calibri"/>
          <w:sz w:val="21"/>
        </w:rPr>
        <w:t>Lo importante para gerencia es que aqui no estamos recomendando solo un proveedor. Estamos recomendando una arquitectura que reduce dependencia de un unico sitio, mejora la capacidad de recuperacion ante fallas y permite evaluar la migracion con criterios empresariales reales.</w:t>
      </w:r>
    </w:p>
    <w:p>
      <w:pPr>
        <w:spacing w:after="120"/>
      </w:pPr>
      <w:r>
        <w:rPr>
          <w:rFonts w:ascii="Calibri" w:hAnsi="Calibri"/>
          <w:sz w:val="21"/>
        </w:rPr>
        <w:t>En consecuencia, la base sugerida para RFQ y negociacion debe ser Cirion primario más GTD secundario, porque es la alternativa que mejor protege la continuidad operativa y el control de una plataforma critica para la compania.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