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ARQUITECTURA DE LA SOLUCIÓN — PLATAFORMA AURIXA</w:t>
      </w:r>
    </w:p>
    <w:p>
      <w:pPr>
        <w:jc w:val="center"/>
      </w:pPr>
      <w:r>
        <w:rPr>
          <w:b/>
          <w:color w:val="0C6866"/>
          <w:sz w:val="26"/>
        </w:rPr>
        <w:t>Telemetría, Trazabilidad y Automatización Minera con IA — Vista de Arquitectura v36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ARQUITECTURA DE LA SOLUCIÓN — PLATAFORMA AURIXA</w:t>
      </w:r>
    </w:p>
    <w:p>
      <w:pPr>
        <w:pStyle w:val="Heading1"/>
      </w:pPr>
      <w:r>
        <w:t>Telemetría, Trazabilidad y Automatización Minera con IA — Vista de Arquitectura v36</w:t>
      </w:r>
    </w:p>
    <w:p>
      <w:pPr>
        <w:spacing w:after="120"/>
      </w:pPr>
      <w:r>
        <w:rPr>
          <w:rFonts w:ascii="Calibri" w:hAnsi="Calibri"/>
          <w:sz w:val="21"/>
        </w:rPr>
        <w:t>Versión: v36 — sincronizada con el SOW Maestro v3.0 (SOW_Maestro_AURIXA_2026_v4)</w:t>
      </w:r>
    </w:p>
    <w:p>
      <w:pPr>
        <w:spacing w:after="120"/>
      </w:pPr>
      <w:r>
        <w:rPr>
          <w:rFonts w:ascii="Calibri" w:hAnsi="Calibri"/>
          <w:sz w:val="21"/>
        </w:rPr>
        <w:t>Fecha: 18 de junio de 2026</w:t>
      </w:r>
    </w:p>
    <w:p>
      <w:pPr>
        <w:spacing w:after="120"/>
      </w:pPr>
      <w:r>
        <w:rPr>
          <w:rFonts w:ascii="Calibri" w:hAnsi="Calibri"/>
          <w:sz w:val="21"/>
        </w:rPr>
        <w:t>Audiencia: Gerencia General, Líderes Técnicos y Gerencia TI</w:t>
      </w:r>
    </w:p>
    <w:p>
      <w:pPr>
        <w:spacing w:after="120"/>
      </w:pPr>
      <w:r>
        <w:rPr>
          <w:rFonts w:ascii="Calibri" w:hAnsi="Calibri"/>
          <w:sz w:val="21"/>
        </w:rPr>
        <w:t>Fuente de verdad técnica: código real del repositorio (`docker-compose.yml`, `backend/`, `ai_engine/`, `formula_engine/`, `db_scripts/`) + SOW v4</w:t>
      </w:r>
    </w:p>
    <w:p>
      <w:pPr>
        <w:spacing w:after="120"/>
      </w:pPr>
      <w:r>
        <w:rPr>
          <w:rFonts w:ascii="Calibri" w:hAnsi="Calibri"/>
          <w:sz w:val="21"/>
        </w:rPr>
        <w:t>&gt; Este documento es la vista maestra de arquitectura. Reemplaza y consolida las versiones previas (branding "ControlTime", documentos de marzo–abril) que ya no reflejan el estado real de la solución. Los diagramas de detalle vigentes (BD, PlantUML del motor FORMULA y de login/biometría) se conservan como anexos técnicos en esta misma carpeta.</w:t>
      </w:r>
    </w:p>
    <w:p>
      <w:pPr>
        <w:pStyle w:val="Heading1"/>
      </w:pPr>
      <w:r>
        <w:t>1. Resumen ejecutivo de la arquitectura</w:t>
      </w:r>
    </w:p>
    <w:p>
      <w:pPr>
        <w:spacing w:after="120"/>
      </w:pPr>
      <w:r>
        <w:rPr>
          <w:rFonts w:ascii="Calibri" w:hAnsi="Calibri"/>
          <w:sz w:val="21"/>
        </w:rPr>
        <w:t>AURIXA dejó de ser una idea de plataforma para convertirse en un sistema real, modular y en contenedores, compuesto por ocho servicios que colaboran entre sí. No es un monolito: es una arquitectura de microservicios donde cada pieza tiene una responsabilidad clara (datos, aplicación, GIS, IA, motor de fórmulas, corrección de texto y experiencia de usuario).</w:t>
      </w:r>
    </w:p>
    <w:p>
      <w:pPr>
        <w:spacing w:after="120"/>
      </w:pPr>
      <w:r>
        <w:rPr>
          <w:rFonts w:ascii="Calibri" w:hAnsi="Calibri"/>
          <w:sz w:val="21"/>
        </w:rPr>
        <w:t>La dirección estratégica del proyecto es clara: migrar de la nube internacional (AWS) a una arquitectura soberana sobre infraestructura en Lima, donde la información crítica reside en territorio nacional, con baja latencia y control operativo propio. La plataforma actual en AWS se mantiene únicamente como fuente externa de datos durante la transición.</w:t>
      </w:r>
    </w:p>
    <w:p>
      <w:pPr>
        <w:spacing w:after="120"/>
      </w:pPr>
      <w:r>
        <w:rPr>
          <w:rFonts w:ascii="Calibri" w:hAnsi="Calibri"/>
          <w:sz w:val="21"/>
        </w:rPr>
        <w:t>Para gerencia, el mensaje es: la solución ya tiene una base técnica funcional y verificable; el proyecto la industrializa, asegura y lleva a producción soberana bajo gobierno formal.</w:t>
      </w:r>
    </w:p>
    <w:p>
      <w:pPr>
        <w:pStyle w:val="Heading1"/>
      </w:pPr>
      <w:r>
        <w:t>2. Vista de componentes (arquitectura real desplegada)</w:t>
      </w:r>
    </w:p>
    <w:p>
      <w:pPr>
        <w:spacing w:after="120"/>
      </w:pPr>
      <w:r>
        <w:rPr>
          <w:rFonts w:ascii="Calibri" w:hAnsi="Calibri"/>
          <w:sz w:val="21"/>
        </w:rPr>
        <w:t>La solución se orquesta con Docker Compose y se compone de los siguientes servicios reales: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Servicio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Tecnología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Responsabilidad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Puerto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`db`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TimescaleDB (PostgreSQL 15 + series temporales)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Datos operativos, telemetría, usuarios, auditoría, KPIs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5432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`web`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Backend C++ (mining gateway)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Núcleo de negocio, APIs REST, canal en vivo, seguridad, TLS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8081 / 8443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`formula_db` + `formula_engine`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Motor FORMULA (C++ + PostgreSQL 15)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Editor de lógica por bloques, fórmulas y SP, scope multi-tenant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8020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`ai_engine`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Python (InsightFace + ONNX + OpenCV)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Biometría facial, embeddings, control de calidad de rostro (EPP/gafas)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5000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`ollama`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Ollama (LLM local)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Reescritura y redacción asistida on-premise (`/api/text/rewrite`)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11434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`languagetool`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LanguageTool self-hosted (es-PE)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Corrección ortográfica y gramatical sin depender de la nube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8010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`tileserver`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mbtileserver (MBTiles)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Servidor de mapas/cartografía GIS offline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8000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`frontend`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React + Nginx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Editor ReportStudio, mapas, dashboards, experiencia de usuario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5173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Lectura de arquitectura: el backend C++ actúa como gateway central: orquesta la base de datos, delega biometría al `ai_engine`, corrección de texto a `languagetool`, redacción premium a `ollama`, y consume el motor `formula_engine` y los mapas del `tileserver`. El frontend solo habla con el gateway. Este patrón concentra seguridad y trazabilidad en un único punto de control.</w:t>
      </w:r>
    </w:p>
    <w:p>
      <w:pPr>
        <w:pStyle w:val="Heading1"/>
      </w:pPr>
      <w:r>
        <w:t>3. Capa de datos (TimescaleDB + 28 migraciones)</w:t>
      </w:r>
    </w:p>
    <w:p>
      <w:pPr>
        <w:spacing w:after="120"/>
      </w:pPr>
      <w:r>
        <w:rPr>
          <w:rFonts w:ascii="Calibri" w:hAnsi="Calibri"/>
          <w:sz w:val="21"/>
        </w:rPr>
        <w:t>La base de datos no es un esquema plano: es un modelo multi-tenant, auditado y orientado a telemetría, construido mediante 28 migraciones versionadas (`db_scripts/01..28`). Hitos del modelo de datos ya implementados:</w:t>
      </w:r>
    </w:p>
    <w:p>
      <w:pPr>
        <w:pStyle w:val="ListBullet"/>
      </w:pPr>
      <w:r>
        <w:rPr>
          <w:rFonts w:ascii="Calibri" w:hAnsi="Calibri"/>
          <w:sz w:val="21"/>
        </w:rPr>
        <w:t>Multi-tenant LATAM con i18n, RBAC y auditoría (migración 16): el mismo sistema sirve a varias empresas/minas; cada tenant solo ve sus datos.</w:t>
      </w:r>
    </w:p>
    <w:p>
      <w:pPr>
        <w:pStyle w:val="ListBullet"/>
      </w:pPr>
      <w:r>
        <w:rPr>
          <w:rFonts w:ascii="Calibri" w:hAnsi="Calibri"/>
          <w:sz w:val="21"/>
        </w:rPr>
        <w:t>Telemetría multivariada y especificaciones de sensores (17), triggers de notificación y ETL (18).</w:t>
      </w:r>
    </w:p>
    <w:p>
      <w:pPr>
        <w:pStyle w:val="ListBullet"/>
      </w:pPr>
      <w:r>
        <w:rPr>
          <w:rFonts w:ascii="Calibri" w:hAnsi="Calibri"/>
          <w:sz w:val="21"/>
        </w:rPr>
        <w:t>Informe técnico minero enterprise (19) y motor de fórmulas para informes (09–10).</w:t>
      </w:r>
    </w:p>
    <w:p>
      <w:pPr>
        <w:pStyle w:val="ListBullet"/>
      </w:pPr>
      <w:r>
        <w:rPr>
          <w:rFonts w:ascii="Calibri" w:hAnsi="Calibri"/>
          <w:sz w:val="21"/>
        </w:rPr>
        <w:t>Trazabilidad y auditoría forzada (20) con contexto de auditoría derivado del login (21): toda acción queda registrada con su responsable.</w:t>
      </w:r>
    </w:p>
    <w:p>
      <w:pPr>
        <w:pStyle w:val="ListBullet"/>
      </w:pPr>
      <w:r>
        <w:rPr>
          <w:rFonts w:ascii="Calibri" w:hAnsi="Calibri"/>
          <w:sz w:val="21"/>
        </w:rPr>
        <w:t>Telemetría de vigilancia y demo segura (22–23), marcadores geográficos oficiales (24).</w:t>
      </w:r>
    </w:p>
    <w:p>
      <w:pPr>
        <w:pStyle w:val="ListBullet"/>
      </w:pPr>
      <w:r>
        <w:rPr>
          <w:rFonts w:ascii="Calibri" w:hAnsi="Calibri"/>
          <w:sz w:val="21"/>
        </w:rPr>
        <w:t>KPIs de runtime minero (26), zonas de sensores (27) y telemetría con UUID por tenant (28).</w:t>
      </w:r>
    </w:p>
    <w:p>
      <w:pPr>
        <w:spacing w:after="120"/>
      </w:pPr>
      <w:r>
        <w:rPr>
          <w:rFonts w:ascii="Calibri" w:hAnsi="Calibri"/>
          <w:sz w:val="21"/>
        </w:rPr>
        <w:t>El motor de series temporales (TimescaleDB) habilita el almacenamiento masivo de lecturas de sensores, alineado con el objetivo O4 (10,000 sensores simultáneos).</w:t>
      </w:r>
    </w:p>
    <w:p>
      <w:pPr>
        <w:pStyle w:val="Heading1"/>
      </w:pPr>
      <w:r>
        <w:t>4. Seguridad y trazabilidad</w:t>
      </w:r>
    </w:p>
    <w:p>
      <w:pPr>
        <w:pStyle w:val="ListBullet"/>
      </w:pPr>
      <w:r>
        <w:rPr>
          <w:rFonts w:ascii="Calibri" w:hAnsi="Calibri"/>
          <w:sz w:val="21"/>
        </w:rPr>
        <w:t>Mining Gateway con TLS (puerto 8443, certificados en `/certs`): canal cifrado para integraciones y operación.</w:t>
      </w:r>
    </w:p>
    <w:p>
      <w:pPr>
        <w:pStyle w:val="ListBullet"/>
      </w:pPr>
      <w:r>
        <w:rPr>
          <w:rFonts w:ascii="Calibri" w:hAnsi="Calibri"/>
          <w:sz w:val="21"/>
        </w:rPr>
        <w:t>RBAC multi-tenant y segregación por empresa/mina (migración 16), con usuarios, perfiles y niveles de acceso.</w:t>
      </w:r>
    </w:p>
    <w:p>
      <w:pPr>
        <w:pStyle w:val="ListBullet"/>
      </w:pPr>
      <w:r>
        <w:rPr>
          <w:rFonts w:ascii="Calibri" w:hAnsi="Calibri"/>
          <w:sz w:val="21"/>
        </w:rPr>
        <w:t>Biometría facial en dos capas: SDK Dermalog (CLI) + red neuronal ONNX de control de calidad de rostro (`face_qc.onnx`: detecta gafas, gorro, mascarilla, ojos cerrados, rostro no frontal), con umbrales de confianza configurables.</w:t>
      </w:r>
    </w:p>
    <w:p>
      <w:pPr>
        <w:pStyle w:val="ListBullet"/>
      </w:pPr>
      <w:r>
        <w:rPr>
          <w:rFonts w:ascii="Calibri" w:hAnsi="Calibri"/>
          <w:sz w:val="21"/>
        </w:rPr>
        <w:t>Auditoría forzada (migraciones 20–21): el contexto de auditoría se deriva del login, garantizando trazabilidad de quién hizo qué (objetivo O7).</w:t>
      </w:r>
    </w:p>
    <w:p>
      <w:pPr>
        <w:pStyle w:val="ListBullet"/>
      </w:pPr>
      <w:r>
        <w:rPr>
          <w:rFonts w:ascii="Calibri" w:hAnsi="Calibri"/>
          <w:sz w:val="21"/>
        </w:rPr>
        <w:t>Objetivo de hardening (Etapa 2): Zero-Trust, WireGuard site-to-site, pentest OWASP y cifrado de grado bancario (ver §7 y SOW Etapa 2).</w:t>
      </w:r>
    </w:p>
    <w:p>
      <w:pPr>
        <w:pStyle w:val="Heading1"/>
      </w:pPr>
      <w:r>
        <w:t>5. Inteligencia Artificial local (sin nube)</w:t>
      </w:r>
    </w:p>
    <w:p>
      <w:pPr>
        <w:spacing w:after="120"/>
      </w:pPr>
      <w:r>
        <w:rPr>
          <w:rFonts w:ascii="Calibri" w:hAnsi="Calibri"/>
          <w:sz w:val="21"/>
        </w:rPr>
        <w:t>La IA vive en los servidores propios, no envía datos a la nube:</w:t>
      </w:r>
    </w:p>
    <w:p>
      <w:pPr>
        <w:pStyle w:val="ListBullet"/>
      </w:pPr>
      <w:r>
        <w:rPr>
          <w:rFonts w:ascii="Calibri" w:hAnsi="Calibri"/>
          <w:sz w:val="21"/>
        </w:rPr>
        <w:t>`ai_engine` (Python): InsightFace para embeddings faciales, clasificador ONNX de gafas con fusión CV+ONNX (`glasses_fusion`), análisis de ojos (liveness) y MediaPipe para landmarks.</w:t>
      </w:r>
    </w:p>
    <w:p>
      <w:pPr>
        <w:pStyle w:val="ListBullet"/>
      </w:pPr>
      <w:r>
        <w:rPr>
          <w:rFonts w:ascii="Calibri" w:hAnsi="Calibri"/>
          <w:sz w:val="21"/>
        </w:rPr>
        <w:t>`ollama` (LLM local): redacción y reescritura asistida de informes on-premise.</w:t>
      </w:r>
    </w:p>
    <w:p>
      <w:pPr>
        <w:pStyle w:val="ListBullet"/>
      </w:pPr>
      <w:r>
        <w:rPr>
          <w:rFonts w:ascii="Calibri" w:hAnsi="Calibri"/>
          <w:sz w:val="21"/>
        </w:rPr>
        <w:t>`languagetool` (es-PE): corrección ortográfica/gramatical autohospedada (objetivo O6, &lt;1 s por párrafo).</w:t>
      </w:r>
    </w:p>
    <w:p>
      <w:pPr>
        <w:pStyle w:val="ListBullet"/>
      </w:pPr>
      <w:r>
        <w:rPr>
          <w:rFonts w:ascii="Calibri" w:hAnsi="Calibri"/>
          <w:sz w:val="21"/>
        </w:rPr>
        <w:t>Objetivo Etapa 2: visión EPP por CCTV (casco/chaleco), STT (dictado por voz), OCR y biometría ONNX de producción.</w:t>
      </w:r>
    </w:p>
    <w:p>
      <w:pPr>
        <w:pStyle w:val="Heading1"/>
      </w:pPr>
      <w:r>
        <w:t>6. Motor FORMULA y capa GIS</w:t>
      </w:r>
    </w:p>
    <w:p>
      <w:pPr>
        <w:pStyle w:val="ListBullet"/>
      </w:pPr>
      <w:r>
        <w:rPr>
          <w:rFonts w:ascii="Calibri" w:hAnsi="Calibri"/>
          <w:sz w:val="21"/>
        </w:rPr>
        <w:t>Motor FORMULA (`formula_engine`, microservicio C++ con BD propia y *scope registry* multi-tenant): permite construir lógica de negocio "por bloques" (como un organigrama de decisiones), mapearla a procedimientos almacenados y ejecutar análisis ligados a esa lógica. Es un diferenciador de la plataforma.</w:t>
      </w:r>
    </w:p>
    <w:p>
      <w:pPr>
        <w:pStyle w:val="ListBullet"/>
      </w:pPr>
      <w:r>
        <w:rPr>
          <w:rFonts w:ascii="Calibri" w:hAnsi="Calibri"/>
          <w:sz w:val="21"/>
        </w:rPr>
        <w:t>GIS soberano: `tileserver` (mbtileserver + MBTiles) sirve cartografía sin internet; el backend expone `/api/map/markers`, `/api/map/official-zones` y `/api/map/compliance-intersections` sobre GeoJSON de polígonos oficiales. Mapas de la mina con sensores que cambian de estado en vivo.</w:t>
      </w:r>
    </w:p>
    <w:p>
      <w:pPr>
        <w:pStyle w:val="Heading1"/>
      </w:pPr>
      <w:r>
        <w:t>7. Arquitectura objetivo de infraestructura (VPS Lima soberana)</w:t>
      </w:r>
    </w:p>
    <w:p>
      <w:pPr>
        <w:spacing w:after="120"/>
      </w:pPr>
      <w:r>
        <w:rPr>
          <w:rFonts w:ascii="Calibri" w:hAnsi="Calibri"/>
          <w:sz w:val="21"/>
        </w:rPr>
        <w:t>La meta de infraestructura (Etapa 2) es un esquema primario–secundario en Lima, no un VPS aislado:</w:t>
      </w:r>
    </w:p>
    <w:p>
      <w:pPr>
        <w:pStyle w:val="ListBullet"/>
      </w:pPr>
      <w:r>
        <w:rPr>
          <w:rFonts w:ascii="Calibri" w:hAnsi="Calibri"/>
          <w:sz w:val="21"/>
        </w:rPr>
        <w:t>Sitio primario: clúster de virtualización dedicada (recomendación: Cirion LIM1).</w:t>
      </w:r>
    </w:p>
    <w:p>
      <w:pPr>
        <w:pStyle w:val="ListBullet"/>
      </w:pPr>
      <w:r>
        <w:rPr>
          <w:rFonts w:ascii="Calibri" w:hAnsi="Calibri"/>
          <w:sz w:val="21"/>
        </w:rPr>
        <w:t>Sitio secundario / DR: segundo data center con réplica continua (recomendación: GTD Lurin).</w:t>
      </w:r>
    </w:p>
    <w:p>
      <w:pPr>
        <w:pStyle w:val="ListBullet"/>
      </w:pPr>
      <w:r>
        <w:rPr>
          <w:rFonts w:ascii="Calibri" w:hAnsi="Calibri"/>
          <w:sz w:val="21"/>
        </w:rPr>
        <w:t>Continuidad: replicación continua de BD, VPN site-to-site, backups externos, failover controlado, objetivo de RTO agresivo.</w:t>
      </w:r>
    </w:p>
    <w:p>
      <w:pPr>
        <w:pStyle w:val="ListBullet"/>
      </w:pPr>
      <w:r>
        <w:rPr>
          <w:rFonts w:ascii="Calibri" w:hAnsi="Calibri"/>
          <w:sz w:val="21"/>
        </w:rPr>
        <w:t>Seguridad de borde: anti-DDoS, firewall administrado, segmentación por VLAN, MFA de administración, NOC 24x7.</w:t>
      </w:r>
    </w:p>
    <w:p>
      <w:pPr>
        <w:spacing w:after="120"/>
      </w:pPr>
      <w:r>
        <w:rPr>
          <w:rFonts w:ascii="Calibri" w:hAnsi="Calibri"/>
          <w:sz w:val="21"/>
        </w:rPr>
        <w:t>Detalle completo en `Arquitectura_Final_AURIXA_Datacenter_Lima` (.docx/.md) de esta carpeta.</w:t>
      </w:r>
    </w:p>
    <w:p>
      <w:pPr>
        <w:pStyle w:val="Heading1"/>
      </w:pPr>
      <w:r>
        <w:t>8. ANÁLISIS DETALLADO DE CAMBIOS EN LA ARQUITECTURA</w:t>
      </w:r>
    </w:p>
    <w:p>
      <w:pPr>
        <w:spacing w:after="120"/>
      </w:pPr>
      <w:r>
        <w:rPr>
          <w:rFonts w:ascii="Calibri" w:hAnsi="Calibri"/>
          <w:sz w:val="21"/>
        </w:rPr>
        <w:t>Esta sección es el núcleo del documento: qué cambió respecto a la concepción anterior y por qué.</w:t>
      </w:r>
    </w:p>
    <w:p>
      <w:pPr>
        <w:pStyle w:val="Heading2"/>
      </w:pPr>
      <w:r>
        <w:t>8.1 Cambios estructurales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Dimensión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Arquitectura anterior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Arquitectura actual / objetivo v36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Impacto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Infraestructura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Nube AWS (cloud internacional)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VPS/virtualización soberana en Lima; AWS solo como fuente de datos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Soberanía, baja latencia, costo previsible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Estilo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Concepción monolítica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Microservicios en contenedores (8 servicios)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Escalabilidad y aislamiento de fallas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Base de datos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PostgreSQL genérico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TimescaleDB + 28 migraciones multi-tenant auditadas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Telemetría masiva y trazabilidad real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Corrección de texto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Dependencia de API externa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LanguageTool self-hosted (es-PE)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Disponibilidad y soberanía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Redacción IA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No definida / externa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Ollama LLM local on-premise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IA sin enviar datos a la nube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Biometría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Conceptual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Dermalog CLI + ONNX face_qc (capa real)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Control de acceso por rostro con QC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Lógica de negocio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Embebida en backend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Motor FORMULA (microservicio + BD propia)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Configuración por bloques, diferenciador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GIS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Mapas genéricos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mbtileserver + GeoJSON oficial offline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Cartografía soberana sin internet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Multi-tenant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Brecha identificada (pendiente)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Implementado (RBAC + i18n + audit, migr. 16)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Operación multi-cliente coherente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Cliente móvil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App móvil nativa (iOS/Android)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Descartada: web responsive + modo offline en tablet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Menor complejidad, foco en alcance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Marca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"ControlTime v3.0"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AURIXA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Identidad unificada del proyecto</w:t>
            </w:r>
          </w:p>
        </w:tc>
      </w:tr>
    </w:tbl>
    <w:p/>
    <w:p>
      <w:pPr>
        <w:pStyle w:val="Heading2"/>
      </w:pPr>
      <w:r>
        <w:t>8.2 Implementado vs objetivo (honestidad de ingeniería)</w:t>
      </w:r>
    </w:p>
    <w:p>
      <w:pPr>
        <w:spacing w:after="120"/>
      </w:pPr>
      <w:r>
        <w:rPr>
          <w:rFonts w:ascii="Calibri" w:hAnsi="Calibri"/>
          <w:sz w:val="21"/>
        </w:rPr>
        <w:t>No todo el stack objetivo del SOW está aún desplegado; la Etapa 2 cierra la brecha: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Componente del SOW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Estado actual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Plan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TimescaleDB (series temporales)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Desplegado (`db`)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Ollama / IA local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Desplegado (`ollama`, `ai_engine`)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Afinamiento Etapa 2 (S11)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GIS offline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Desplegado (`tileserver`)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Capas operativas adicionales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Redpanda (ingesta 10k/seg)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No desplegado aún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Incorporar en hardening de carga (Etapa 2, S9–S12) para escalar ingesta a 10k sensores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MinIO (almacenamiento objeto)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No desplegado aún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Incorporar como almacén soberano de archivos en Etapa 2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WireGuard (túnel seguro)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No desplegado aún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Parte del hardening de red en VPS Lima (S9–S11)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Visión EPP / STT voz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Base en `ai_engine`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Producción en Etapa 2 (S6, S11)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&gt; Esta diferenciación es deliberada: la Etapa 1 consolida el núcleo funcional ya existente; la Etapa 2 introduce los componentes de escala (Redpanda), almacenamiento (MinIO) y seguridad de red (WireGuard) bajo la infraestructura soberana de Lima.</w:t>
      </w:r>
    </w:p>
    <w:p>
      <w:pPr>
        <w:pStyle w:val="Heading2"/>
      </w:pPr>
      <w:r>
        <w:t>8.3 Por qué estos cambios (lectura gerencial)</w:t>
      </w:r>
    </w:p>
    <w:p>
      <w:pPr>
        <w:pStyle w:val="ListNumber"/>
      </w:pPr>
      <w:r>
        <w:rPr>
          <w:rFonts w:ascii="Calibri" w:hAnsi="Calibri"/>
          <w:sz w:val="21"/>
        </w:rPr>
        <w:t>De la nube a la soberanía: reduce dependencia externa en procesos core y mejora el control del dato minero.</w:t>
      </w:r>
    </w:p>
    <w:p>
      <w:pPr>
        <w:pStyle w:val="ListNumber"/>
      </w:pPr>
      <w:r>
        <w:rPr>
          <w:rFonts w:ascii="Calibri" w:hAnsi="Calibri"/>
          <w:sz w:val="21"/>
        </w:rPr>
        <w:t>De monolito a microservicios: permite endurecer y escalar cada pieza sin arriesgar el conjunto.</w:t>
      </w:r>
    </w:p>
    <w:p>
      <w:pPr>
        <w:pStyle w:val="ListNumber"/>
      </w:pPr>
      <w:r>
        <w:rPr>
          <w:rFonts w:ascii="Calibri" w:hAnsi="Calibri"/>
          <w:sz w:val="21"/>
        </w:rPr>
        <w:t>IA y corrección locales: eliminan el envío de datos sensibles (rostros, informes) a terceros.</w:t>
      </w:r>
    </w:p>
    <w:p>
      <w:pPr>
        <w:pStyle w:val="ListNumber"/>
      </w:pPr>
      <w:r>
        <w:rPr>
          <w:rFonts w:ascii="Calibri" w:hAnsi="Calibri"/>
          <w:sz w:val="21"/>
        </w:rPr>
        <w:t>Multi-tenant real: habilita operar varias empresas/minas con un solo sistema, base para escalar el negocio.</w:t>
      </w:r>
    </w:p>
    <w:p>
      <w:pPr>
        <w:pStyle w:val="ListNumber"/>
      </w:pPr>
      <w:r>
        <w:rPr>
          <w:rFonts w:ascii="Calibri" w:hAnsi="Calibri"/>
          <w:sz w:val="21"/>
        </w:rPr>
        <w:t>Descartar móvil nativo: concentra el esfuerzo en la web responsive + offline, alineado al alcance y al presupuesto aprobados.</w:t>
      </w:r>
    </w:p>
    <w:p>
      <w:pPr>
        <w:pStyle w:val="Heading1"/>
      </w:pPr>
      <w:r>
        <w:t>9. Mapeo arquitectura → KPIs y etapas del SOW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KPI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Componente arquitectónico que lo soporta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Etapa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O1 &lt;20 ms render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Backend C++ + frontend optimizado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E2 (S9, S11)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O3 &lt;5 s reportes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Editor ReportStudio + export backend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E1 (S7)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O4 10,000 sensores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TimescaleDB + (objetivo) Redpanda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E1 sim (S6) / E2 estrés (S12)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O5 &gt;99.9% uptime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DR primario-secundario Lima + monitoreo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E2 (S10, S13)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O6 &lt;1 s IA/párrafo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Ollama + LanguageTool locales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E1 (S6) / E2 (S11)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O7 trazabilidad 100%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Auditoría forzada (migr. 20–21)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E1 (S4, S8)</w:t>
            </w:r>
          </w:p>
        </w:tc>
      </w:tr>
    </w:tbl>
    <w:p/>
    <w:p>
      <w:pPr>
        <w:pStyle w:val="Heading1"/>
      </w:pPr>
      <w:r>
        <w:t>10. Anexos técnicos vigentes (en esta carpeta)</w:t>
      </w:r>
    </w:p>
    <w:p>
      <w:pPr>
        <w:pStyle w:val="ListBullet"/>
      </w:pPr>
      <w:r>
        <w:rPr>
          <w:rFonts w:ascii="Calibri" w:hAnsi="Calibri"/>
          <w:sz w:val="21"/>
        </w:rPr>
        <w:t>`DIAGRAMA_ARQUITECTURA_BD.md` — vista de despliegue y BD (componentes reales).</w:t>
      </w:r>
    </w:p>
    <w:p>
      <w:pPr>
        <w:pStyle w:val="ListBullet"/>
      </w:pPr>
      <w:r>
        <w:rPr>
          <w:rFonts w:ascii="Calibri" w:hAnsi="Calibri"/>
          <w:sz w:val="21"/>
        </w:rPr>
        <w:t>`DISENO_BD_PRESENTACION_GERENCIAS.md` — auditoría, trazabilidad y orden de migraciones.</w:t>
      </w:r>
    </w:p>
    <w:p>
      <w:pPr>
        <w:pStyle w:val="ListBullet"/>
      </w:pPr>
      <w:r>
        <w:rPr>
          <w:rFonts w:ascii="Calibri" w:hAnsi="Calibri"/>
          <w:sz w:val="21"/>
        </w:rPr>
        <w:t>`DIAGRAMAS_PLANTUML_FORMULA_Y_BACKEND.puml` — 13 vistas del motor FORMULA, SP y backend.</w:t>
      </w:r>
    </w:p>
    <w:p>
      <w:pPr>
        <w:pStyle w:val="ListBullet"/>
      </w:pPr>
      <w:r>
        <w:rPr>
          <w:rFonts w:ascii="Calibri" w:hAnsi="Calibri"/>
          <w:sz w:val="21"/>
        </w:rPr>
        <w:t>`DIAGRAMAS_PLANTUML_LOGIN_BIOMETRIA.puml` — flujo de login y biometría.</w:t>
      </w:r>
    </w:p>
    <w:p>
      <w:pPr>
        <w:pStyle w:val="ListBullet"/>
      </w:pPr>
      <w:r>
        <w:rPr>
          <w:rFonts w:ascii="Calibri" w:hAnsi="Calibri"/>
          <w:sz w:val="21"/>
        </w:rPr>
        <w:t>`DIAGRAMA_TEXTO_SP_DESDE_LIENZO_FORMULA.md` — mapeo lienzo → procedimientos almacenados.</w:t>
      </w:r>
    </w:p>
    <w:p>
      <w:pPr>
        <w:pStyle w:val="ListBullet"/>
      </w:pPr>
      <w:r>
        <w:rPr>
          <w:rFonts w:ascii="Calibri" w:hAnsi="Calibri"/>
          <w:sz w:val="21"/>
        </w:rPr>
        <w:t>`DIAGRAMAS_FLUJO_PLATAFORMA_MINERA.md` — flujos operativos.</w:t>
      </w:r>
    </w:p>
    <w:p>
      <w:pPr>
        <w:pStyle w:val="ListBullet"/>
      </w:pPr>
      <w:r>
        <w:rPr>
          <w:rFonts w:ascii="Calibri" w:hAnsi="Calibri"/>
          <w:sz w:val="21"/>
        </w:rPr>
        <w:t>`BACKEND_DISENO_ARQUITECTURA.md` — diseño técnico detallado del backend.</w:t>
      </w:r>
    </w:p>
    <w:p>
      <w:pPr>
        <w:pStyle w:val="ListBullet"/>
      </w:pPr>
      <w:r>
        <w:rPr>
          <w:rFonts w:ascii="Calibri" w:hAnsi="Calibri"/>
          <w:sz w:val="21"/>
        </w:rPr>
        <w:t>`BACKEND_EXPLICACION_SENCILLA.md` — explicación no técnica del backend.</w:t>
      </w:r>
    </w:p>
    <w:p>
      <w:pPr>
        <w:pStyle w:val="ListBullet"/>
      </w:pPr>
      <w:r>
        <w:rPr>
          <w:rFonts w:ascii="Calibri" w:hAnsi="Calibri"/>
          <w:sz w:val="21"/>
        </w:rPr>
        <w:t>`Arquitectura_Final_AURIXA_Datacenter_Lima.docx/.md` — infraestructura y DR en Lima.</w:t>
      </w:r>
    </w:p>
    <w:p>
      <w:pPr>
        <w:pStyle w:val="ListBullet"/>
      </w:pPr>
      <w:r>
        <w:rPr>
          <w:rFonts w:ascii="Calibri" w:hAnsi="Calibri"/>
          <w:sz w:val="21"/>
        </w:rPr>
        <w:t>`INFORME_ARQUITECTURA_NUEVA_PLATAFORMA_DETALLADO.pdf` — informe de arquitectura detallado.</w:t>
      </w:r>
    </w:p>
    <w:p>
      <w:pPr>
        <w:pStyle w:val="Heading1"/>
      </w:pPr>
      <w:r>
        <w:t>11. Conclusión</w:t>
      </w:r>
    </w:p>
    <w:p>
      <w:pPr>
        <w:spacing w:after="120"/>
      </w:pPr>
      <w:r>
        <w:rPr>
          <w:rFonts w:ascii="Calibri" w:hAnsi="Calibri"/>
          <w:sz w:val="21"/>
        </w:rPr>
        <w:t>La arquitectura de AURIXA es hoy una solución modular, soberana y trazable, con una base funcional real (ocho servicios, 28 migraciones, IA y biometría locales, motor de fórmulas y GIS offline). El proyecto la lleva a producción endureciéndola con escala (Redpanda), almacenamiento (MinIO) y seguridad de red (WireGuard) sobre infraestructura primario-secundario en Lima. Cada cambio responde a tres prioridades de dirección: soberanía del dato, continuidad del negocio y trazabilidad ejecutiva.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