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ANEXO 1 PAGINA</w:t>
      </w:r>
    </w:p>
    <w:p>
      <w:pPr>
        <w:jc w:val="center"/>
      </w:pPr>
      <w:r>
        <w:rPr>
          <w:b/>
          <w:color w:val="0C6866"/>
          <w:sz w:val="26"/>
        </w:rPr>
        <w:t>Riesgos y mitigaciones para Directorio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ANEXO 1 PAGINA</w:t>
      </w:r>
    </w:p>
    <w:p>
      <w:pPr>
        <w:pStyle w:val="Heading1"/>
      </w:pPr>
      <w:r>
        <w:t>Riesgos y mitigaciones para Directorio</w:t>
      </w:r>
    </w:p>
    <w:p>
      <w:pPr>
        <w:spacing w:after="120"/>
      </w:pPr>
      <w:r>
        <w:rPr>
          <w:rFonts w:ascii="Calibri" w:hAnsi="Calibri"/>
          <w:sz w:val="21"/>
        </w:rPr>
        <w:t>Documento: Portafolio IA Minera 2026</w:t>
      </w:r>
    </w:p>
    <w:p>
      <w:pPr>
        <w:spacing w:after="120"/>
      </w:pPr>
      <w:r>
        <w:rPr>
          <w:rFonts w:ascii="Calibri" w:hAnsi="Calibri"/>
          <w:sz w:val="21"/>
        </w:rPr>
        <w:t>Audiencia: Directorio</w:t>
      </w:r>
    </w:p>
    <w:p>
      <w:pPr>
        <w:spacing w:after="120"/>
      </w:pPr>
      <w:r>
        <w:rPr>
          <w:rFonts w:ascii="Calibri" w:hAnsi="Calibri"/>
          <w:sz w:val="21"/>
        </w:rPr>
        <w:t>Fecha: 15 de mayo de 2026</w:t>
      </w:r>
    </w:p>
    <w:p>
      <w:pPr>
        <w:pStyle w:val="Heading1"/>
      </w:pPr>
      <w:r>
        <w:t>Lectura ejecutiva</w:t>
      </w:r>
    </w:p>
    <w:p>
      <w:pPr>
        <w:spacing w:after="120"/>
      </w:pPr>
      <w:r>
        <w:rPr>
          <w:rFonts w:ascii="Calibri" w:hAnsi="Calibri"/>
          <w:sz w:val="21"/>
        </w:rPr>
        <w:t>La adopcion del portafolio IA propuesto es viable y recomendable, siempre que se trate como un programa gobernado y escalonado. El principal riesgo no es la tecnologia, sino la falta de disciplina en costo, seguridad, datos y adopcion.</w:t>
      </w:r>
    </w:p>
    <w:p>
      <w:pPr>
        <w:pStyle w:val="Heading1"/>
      </w:pPr>
      <w:r>
        <w:t>Los 5 riesgos que Directorio debe vigilar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Riesgo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Impacto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Mitigacion requerida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Dispersion de proveedores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Gasto duplicado, integraciones fragmentadas, baja auditabilidad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Gateway IA unico y catalogo corporativo de proveedores aprobados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Sobrecosto por consumo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Desviacion presupuestal y presion sobre ROI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Cuotas, routing por costo, FinOps IA y seguimiento quincenal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Fuga de datos o uso no gobernado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Riesgo legal, reputacional y contractual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SSO, auditoria, segmentacion de casos de uso y entornos controlados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Baja adopcion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Licencias subutilizadas y poco valor real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Pilotos acotados, owners por frente y medicion trimestral de adopcion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Escalar ML propio demasiado pronto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Alto costo con bajo retorno inicial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Consolidar primero gateway, RAG y gobierno antes de ampliar ML avanzado</w:t>
            </w:r>
          </w:p>
        </w:tc>
      </w:tr>
    </w:tbl>
    <w:p/>
    <w:p>
      <w:pPr>
        <w:pStyle w:val="Heading1"/>
      </w:pPr>
      <w:r>
        <w:t>Controles obligatorios para aprobar</w:t>
      </w:r>
    </w:p>
    <w:p>
      <w:pPr>
        <w:pStyle w:val="ListNumber"/>
      </w:pPr>
      <w:r>
        <w:rPr>
          <w:rFonts w:ascii="Calibri" w:hAnsi="Calibri"/>
          <w:sz w:val="21"/>
        </w:rPr>
        <w:t>Gateway IA corporativo para acceso y trazabilidad.</w:t>
      </w:r>
    </w:p>
    <w:p>
      <w:pPr>
        <w:pStyle w:val="ListNumber"/>
      </w:pPr>
      <w:r>
        <w:rPr>
          <w:rFonts w:ascii="Calibri" w:hAnsi="Calibri"/>
          <w:sz w:val="21"/>
        </w:rPr>
        <w:t>Politica formal de proveedores, modelos y casos autorizados.</w:t>
      </w:r>
    </w:p>
    <w:p>
      <w:pPr>
        <w:pStyle w:val="ListNumber"/>
      </w:pPr>
      <w:r>
        <w:rPr>
          <w:rFonts w:ascii="Calibri" w:hAnsi="Calibri"/>
          <w:sz w:val="21"/>
        </w:rPr>
        <w:t>Gobierno trimestral de costo, valor y riesgo.</w:t>
      </w:r>
    </w:p>
    <w:p>
      <w:pPr>
        <w:pStyle w:val="ListNumber"/>
      </w:pPr>
      <w:r>
        <w:rPr>
          <w:rFonts w:ascii="Calibri" w:hAnsi="Calibri"/>
          <w:sz w:val="21"/>
        </w:rPr>
        <w:t>Seguridad y auditoria centralizadas.</w:t>
      </w:r>
    </w:p>
    <w:p>
      <w:pPr>
        <w:pStyle w:val="ListNumber"/>
      </w:pPr>
      <w:r>
        <w:rPr>
          <w:rFonts w:ascii="Calibri" w:hAnsi="Calibri"/>
          <w:sz w:val="21"/>
        </w:rPr>
        <w:t>Adopcion por fases con responsables por area.</w:t>
      </w:r>
    </w:p>
    <w:p>
      <w:pPr>
        <w:pStyle w:val="Heading1"/>
      </w:pPr>
      <w:r>
        <w:t>Decision sugerida</w:t>
      </w:r>
    </w:p>
    <w:p>
      <w:pPr>
        <w:spacing w:after="120"/>
      </w:pPr>
      <w:r>
        <w:rPr>
          <w:rFonts w:ascii="Calibri" w:hAnsi="Calibri"/>
          <w:sz w:val="21"/>
        </w:rPr>
        <w:t>Aprobar el portafolio IA bajo una logica de control corporativo: base conservadora de amplio despliegue, celula avanzada para ingenieria senior y evaluacion trimestral del retorno operativo y financiero.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