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STATEMENT OF WORK (SOW) — PLATAFORMA AURIXA</w:t>
      </w:r>
    </w:p>
    <w:p>
      <w:pPr>
        <w:jc w:val="center"/>
      </w:pPr>
      <w:r>
        <w:rPr>
          <w:b/>
          <w:color w:val="0C6866"/>
          <w:sz w:val="26"/>
        </w:rPr>
        <w:t>Plataforma Integral de Telemetría, Trazabilidad y Automatización Minera con IA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STATEMENT OF WORK (SOW) — PLATAFORMA AURIXA</w:t>
      </w:r>
    </w:p>
    <w:p>
      <w:pPr>
        <w:pStyle w:val="Heading1"/>
      </w:pPr>
      <w:r>
        <w:t>Plataforma Integral de Telemetría, Trazabilidad y Automatización Minera con IA</w:t>
      </w:r>
    </w:p>
    <w:p>
      <w:pPr>
        <w:spacing w:after="120"/>
      </w:pPr>
      <w:r>
        <w:rPr>
          <w:rFonts w:ascii="Calibri" w:hAnsi="Calibri"/>
          <w:sz w:val="21"/>
        </w:rPr>
        <w:t>Documento: SOW-AURIXA-2026-MAESTRO</w:t>
      </w:r>
    </w:p>
    <w:p>
      <w:pPr>
        <w:spacing w:after="120"/>
      </w:pPr>
      <w:r>
        <w:rPr>
          <w:rFonts w:ascii="Calibri" w:hAnsi="Calibri"/>
          <w:sz w:val="21"/>
        </w:rPr>
        <w:t>Versión: 3.0 — Sincronizada con el Plan de Proyecto v36</w:t>
      </w:r>
    </w:p>
    <w:p>
      <w:pPr>
        <w:spacing w:after="120"/>
      </w:pPr>
      <w:r>
        <w:rPr>
          <w:rFonts w:ascii="Calibri" w:hAnsi="Calibri"/>
          <w:sz w:val="21"/>
        </w:rPr>
        <w:t>Clasificación: Confidencial — Uso interno</w:t>
      </w:r>
    </w:p>
    <w:p>
      <w:pPr>
        <w:spacing w:after="120"/>
      </w:pPr>
      <w:r>
        <w:rPr>
          <w:rFonts w:ascii="Calibri" w:hAnsi="Calibri"/>
          <w:sz w:val="21"/>
        </w:rPr>
        <w:t>Fecha de emisión: 17 de junio de 2026</w:t>
      </w:r>
    </w:p>
    <w:p>
      <w:pPr>
        <w:spacing w:after="120"/>
      </w:pPr>
      <w:r>
        <w:rPr>
          <w:rFonts w:ascii="Calibri" w:hAnsi="Calibri"/>
          <w:sz w:val="21"/>
        </w:rPr>
        <w:t>Calendario de ejecución: 1 de junio – 30 de noviembre de 2026 (6 meses / 26 semanas)</w:t>
      </w:r>
    </w:p>
    <w:p>
      <w:pPr>
        <w:spacing w:after="120"/>
      </w:pPr>
      <w:r>
        <w:rPr>
          <w:rFonts w:ascii="Calibri" w:hAnsi="Calibri"/>
          <w:sz w:val="21"/>
        </w:rPr>
        <w:t>Estado: Versión maestra para revisión y aprobación ejecutiva</w:t>
      </w:r>
    </w:p>
    <w:p>
      <w:pPr>
        <w:pStyle w:val="Heading1"/>
      </w:pPr>
      <w:r>
        <w:t>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Ítem</w:t>
            </w:r>
          </w:p>
        </w:tc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Detalle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Preparado por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Arquitectura TI Senior LATAM / PMO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Audiencia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Gerencia General, Líderes Técnicos y Gerencia TI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Naturaleza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Documento maestro de alcance, gobierno y aceptación del proyecto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Fuente de cronograma y tareas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Plan_Detallado_Etapas_1_y_2_v36.xlsx + Plan_Proyecto_Gerencia_Etapas_Sprints_v36.xlsx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Fuente de recursos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Documento_Gerencia_Distribucion_Recursos_v36 (10 recursos)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Metodología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Híbrida: Clásica (PMO + gates) + Scrum (sprints quincenales)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Trazabilidad de alcance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100% de entregables mapeados a sprint, release y gate</w:t>
            </w:r>
          </w:p>
        </w:tc>
      </w:tr>
    </w:tbl>
    <w:p/>
    <w:p>
      <w:pPr>
        <w:pStyle w:val="Heading2"/>
      </w:pPr>
      <w: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Versión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Fecha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Cambio principal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2.0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12-05-2026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Migración a arquitectura soberana VPS Linux (Lima)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3.0 (v36)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17-06-2026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Sincronización total con el plan de tareas v36: 10 recursos (incorpora PAF), 13 sprints, 6 releases, fechas reales y economía recalculada</w:t>
            </w:r>
          </w:p>
        </w:tc>
      </w:tr>
    </w:tbl>
    <w:p/>
    <w:p>
      <w:pPr>
        <w:pStyle w:val="Heading1"/>
      </w:pPr>
      <w:r>
        <w:t>1. Resumen Ejecutivo</w:t>
      </w:r>
    </w:p>
    <w:p>
      <w:pPr>
        <w:spacing w:after="120"/>
      </w:pPr>
      <w:r>
        <w:rPr>
          <w:rFonts w:ascii="Calibri" w:hAnsi="Calibri"/>
          <w:sz w:val="21"/>
        </w:rPr>
        <w:t>AURIXA es la plataforma con la que la operación minera deja de gestionar su información de forma dispersa y empieza a operar sobre una sola fuente de verdad: una solución que integra monitoreo de sensores en tiempo real, edición y trazabilidad documental, mapas operativos, continuidad de trabajo aun sin conectividad y automatización asistida por inteligencia artificial local.</w:t>
      </w:r>
    </w:p>
    <w:p>
      <w:pPr>
        <w:spacing w:after="120"/>
      </w:pPr>
      <w:r>
        <w:rPr>
          <w:rFonts w:ascii="Calibri" w:hAnsi="Calibri"/>
          <w:sz w:val="21"/>
        </w:rPr>
        <w:t>El proyecto se ejecuta en seis meses calendario, del 1 de junio al 30 de noviembre de 2026, sobre una arquitectura soberana en servidores VPS Linux en Lima. Esta decisión no es solo técnica: significa que la información crítica del negocio reside en territorio nacional, con baja latencia, menor dependencia de la nube internacional y mayor control sobre los datos y la continuidad operativa.</w:t>
      </w:r>
    </w:p>
    <w:p>
      <w:pPr>
        <w:spacing w:after="120"/>
      </w:pPr>
      <w:r>
        <w:rPr>
          <w:rFonts w:ascii="Calibri" w:hAnsi="Calibri"/>
          <w:sz w:val="21"/>
        </w:rPr>
        <w:t>Para gerencia, este documento cumple un único propósito: ser la base de decisión y de control del proyecto. Define qué se va a entregar, cuándo, con qué equipo, cómo se mide el avance y bajo qué criterios se acepta cada hito. No describe una idea: describe un plan ya estructurado, con un cronograma real de 13 sprints, seis puntos formales de control (releases) y un equipo de diez especialistas con carga asignada y trazable.</w:t>
      </w:r>
    </w:p>
    <w:p>
      <w:pPr>
        <w:spacing w:after="120"/>
      </w:pPr>
      <w:r>
        <w:rPr>
          <w:rFonts w:ascii="Calibri" w:hAnsi="Calibri"/>
          <w:sz w:val="21"/>
        </w:rPr>
        <w:t>Aprobar este SOW es habilitar una nueva capacidad operativa para la compañía, gobernada desde el primer día y verificable en cada etapa.</w:t>
      </w:r>
    </w:p>
    <w:p>
      <w:pPr>
        <w:pStyle w:val="Heading2"/>
      </w:pPr>
      <w:r>
        <w:t>1.1 Valor para Gerencia General y Gerencia TI</w:t>
      </w:r>
    </w:p>
    <w:p>
      <w:pPr>
        <w:pStyle w:val="ListNumber"/>
      </w:pPr>
      <w:r>
        <w:rPr>
          <w:rFonts w:ascii="Calibri" w:hAnsi="Calibri"/>
          <w:sz w:val="21"/>
        </w:rPr>
        <w:t>Para Gerencia General: control ejecutivo real, visibilidad de hitos y riesgos, y una salida a producción gobernada por puertas de decisión, no por percepciones.</w:t>
      </w:r>
    </w:p>
    <w:p>
      <w:pPr>
        <w:pStyle w:val="ListNumber"/>
      </w:pPr>
      <w:r>
        <w:rPr>
          <w:rFonts w:ascii="Calibri" w:hAnsi="Calibri"/>
          <w:sz w:val="21"/>
        </w:rPr>
        <w:t>Para Gerencia TI: una arquitectura medible y sostenible, con menor dependencia externa en procesos core y mayor control de disponibilidad, seguridad e integración.</w:t>
      </w:r>
    </w:p>
    <w:p>
      <w:pPr>
        <w:pStyle w:val="ListNumber"/>
      </w:pPr>
      <w:r>
        <w:rPr>
          <w:rFonts w:ascii="Calibri" w:hAnsi="Calibri"/>
          <w:sz w:val="21"/>
        </w:rPr>
        <w:t>Para la operación minera: menos tiempos muertos de información, mejor calidad del reporte técnico y respuesta ordenada ante alarmas, incidentes y condiciones de campo.</w:t>
      </w:r>
    </w:p>
    <w:p>
      <w:pPr>
        <w:pStyle w:val="ListNumber"/>
      </w:pPr>
      <w:r>
        <w:rPr>
          <w:rFonts w:ascii="Calibri" w:hAnsi="Calibri"/>
          <w:sz w:val="21"/>
        </w:rPr>
        <w:t>Para la organización: una base digital escalable para las siguientes fases de automatización y analítica operativa.</w:t>
      </w:r>
    </w:p>
    <w:p>
      <w:pPr>
        <w:pStyle w:val="Heading2"/>
      </w:pPr>
      <w:r>
        <w:t>1.2 Beneficios esperados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Beneficio</w:t>
            </w:r>
          </w:p>
        </w:tc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Impacto esperado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Centralización operativa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Menor dispersión de datos, reportes y evidencias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Respuesta más rápida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Mejor tiempo de reacción ante alarmas e incidentes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Mayor control gerencial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Visibilidad ejecutiva de hitos, riesgos y entregables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Continuidad operativa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Capacidad de operar aun con conectividad variable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Trazabilidad y auditoría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Control sobre cambios, acciones, aprobaciones y responsables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Base para escalar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Plataforma lista para crecimiento funcional y operativo</w:t>
            </w:r>
          </w:p>
        </w:tc>
      </w:tr>
    </w:tbl>
    <w:p/>
    <w:p>
      <w:pPr>
        <w:pStyle w:val="Heading1"/>
      </w:pPr>
      <w:r>
        <w:t>2. Propósito y Justificación</w:t>
      </w:r>
    </w:p>
    <w:p>
      <w:pPr>
        <w:spacing w:after="120"/>
      </w:pPr>
      <w:r>
        <w:rPr>
          <w:rFonts w:ascii="Calibri" w:hAnsi="Calibri"/>
          <w:sz w:val="21"/>
        </w:rPr>
        <w:t>Hoy la operación combina herramientas generales no trazables, integraciones parciales y limitaciones para trabajar con estabilidad en zonas de baja conectividad. AURIXA resuelve cinco frentes de negocio:</w:t>
      </w:r>
    </w:p>
    <w:p>
      <w:pPr>
        <w:pStyle w:val="ListNumber"/>
      </w:pPr>
      <w:r>
        <w:rPr>
          <w:rFonts w:ascii="Calibri" w:hAnsi="Calibri"/>
          <w:sz w:val="21"/>
        </w:rPr>
        <w:t>Reducir la dispersión de información técnica y operativa.</w:t>
      </w:r>
    </w:p>
    <w:p>
      <w:pPr>
        <w:pStyle w:val="ListNumber"/>
      </w:pPr>
      <w:r>
        <w:rPr>
          <w:rFonts w:ascii="Calibri" w:hAnsi="Calibri"/>
          <w:sz w:val="21"/>
        </w:rPr>
        <w:t>Consolidar datos de sensores, mapas y reportes en una sola vista de gestión.</w:t>
      </w:r>
    </w:p>
    <w:p>
      <w:pPr>
        <w:pStyle w:val="ListNumber"/>
      </w:pPr>
      <w:r>
        <w:rPr>
          <w:rFonts w:ascii="Calibri" w:hAnsi="Calibri"/>
          <w:sz w:val="21"/>
        </w:rPr>
        <w:t>Asegurar operación continua aun ante caídas de red o conectividad externa.</w:t>
      </w:r>
    </w:p>
    <w:p>
      <w:pPr>
        <w:pStyle w:val="ListNumber"/>
      </w:pPr>
      <w:r>
        <w:rPr>
          <w:rFonts w:ascii="Calibri" w:hAnsi="Calibri"/>
          <w:sz w:val="21"/>
        </w:rPr>
        <w:t>Mejorar la trazabilidad, el control de versiones y la capacidad de auditoría.</w:t>
      </w:r>
    </w:p>
    <w:p>
      <w:pPr>
        <w:pStyle w:val="ListNumber"/>
      </w:pPr>
      <w:r>
        <w:rPr>
          <w:rFonts w:ascii="Calibri" w:hAnsi="Calibri"/>
          <w:sz w:val="21"/>
        </w:rPr>
        <w:t>Preparar a la organización para una operación más segura, medible y escalable.</w:t>
      </w:r>
    </w:p>
    <w:p>
      <w:pPr>
        <w:pStyle w:val="Heading1"/>
      </w:pPr>
      <w:r>
        <w:t>3. Objetivos Medibles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Código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Objetivo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Métrica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Meta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Sprint de validación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O1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Rapidez de visualización y respuesta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Retraso visual de pantalla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&lt; 20 ms (local)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S9, S11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O2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Auto-guardado seguro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Tiempo por operación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&lt; 0.5 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S4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O3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Generación de reportes técnicos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Exportación PDF/Word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&lt; 5 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S7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O4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Capacidad de monitoreo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Sensores simultáneos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10,000 a la vez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S6 (sim), S12 (estrés)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O5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Estabilidad operacional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Disponibilidad anual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&gt; 99.9%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S10, S13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O6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IA local de apoyo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Corrección por párrafo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&lt; 1 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S6, S11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O7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Trazabilidad y control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Acciones auditadas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100%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S4, S8</w:t>
            </w:r>
          </w:p>
        </w:tc>
      </w:tr>
    </w:tbl>
    <w:p/>
    <w:p>
      <w:pPr>
        <w:pStyle w:val="Heading2"/>
      </w:pPr>
      <w:r>
        <w:t>3.1 Acuerdos de Nivel de Servicio (SLA)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Categoría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Meta esperada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Consecuencia de incumplimiento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Rapidez del sistema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&lt; 20 ms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Optimización obligatoria en 48 h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Uptime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99.9%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Créditos de servicio a favor del cliente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Pérdida de datos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0% (Zero Data Loss)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Auditoría inmediata de seguridad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IA de redacción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&lt; 1 s por respuesta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Ajuste de capacidad de servidores</w:t>
            </w:r>
          </w:p>
        </w:tc>
      </w:tr>
    </w:tbl>
    <w:p/>
    <w:p>
      <w:pPr>
        <w:pStyle w:val="Heading1"/>
      </w:pPr>
      <w:r>
        <w:t>4. Arquitectura Objetivo (VPS Soberana en Lima)</w:t>
      </w:r>
    </w:p>
    <w:p>
      <w:pPr>
        <w:spacing w:after="120"/>
      </w:pPr>
      <w:r>
        <w:rPr>
          <w:rFonts w:ascii="Calibri" w:hAnsi="Calibri"/>
          <w:sz w:val="21"/>
        </w:rPr>
        <w:t>La arquitectura es soberana sobre VPS Linux en Lima, con integración controlada hacia sistemas y fuentes externas autorizadas. Cada capa cumple un propósito de negocio: la de aplicación soporta el trabajo diario; la de integración conecta con las fuentes actuales sin romper la continuidad; la de datos consolida histórico y trazabilidad; la de seguridad protege acceso e integridad; la de continuidad mantiene la operación ante fallas.</w:t>
      </w:r>
    </w:p>
    <w:p>
      <w:pPr>
        <w:pStyle w:val="Heading2"/>
      </w:pPr>
      <w:r>
        <w:t>4.1 Stack tecnológico (software libre)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Capa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Tecnología</w:t>
            </w:r>
          </w:p>
        </w:tc>
        <w:tc>
          <w:tcPr>
            <w:tcW w:type="dxa" w:w="3312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Beneficio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Servidores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Linux (Ubuntu/Rocky)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Estabilidad industrial sin costo de licencia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Base de datos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PostgreSQL + TimescaleDB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Almacenamiento masivo de sensores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Ingesta de datos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Redpanda (C++)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10k datos/seg con latencia mínima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Inteligencia artificial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Ollama + modelos ONNX/DeepFace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IA que vive en el servidor local, no en la nube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Mapas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OpenStreetMap + MBTiles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Cartografía detallada sin internet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Almacenamiento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MinIO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"Nube" de archivos dentro de los servidores propios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Seguridad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WireGuard + Nginx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sz w:val="19"/>
              </w:rPr>
              <w:t>Túneles privados y canal seguro</w:t>
            </w:r>
          </w:p>
        </w:tc>
      </w:tr>
    </w:tbl>
    <w:p/>
    <w:p>
      <w:pPr>
        <w:pStyle w:val="Heading2"/>
      </w:pPr>
      <w:r>
        <w:t>4.2 Principios arquitectónicos</w:t>
      </w:r>
    </w:p>
    <w:p>
      <w:pPr>
        <w:pStyle w:val="ListNumber"/>
      </w:pPr>
      <w:r>
        <w:rPr>
          <w:rFonts w:ascii="Calibri" w:hAnsi="Calibri"/>
          <w:sz w:val="21"/>
        </w:rPr>
        <w:t>Soberanía de la información crítica.</w:t>
      </w:r>
    </w:p>
    <w:p>
      <w:pPr>
        <w:pStyle w:val="ListNumber"/>
      </w:pPr>
      <w:r>
        <w:rPr>
          <w:rFonts w:ascii="Calibri" w:hAnsi="Calibri"/>
          <w:sz w:val="21"/>
        </w:rPr>
        <w:t>Baja latencia para procesos sensibles al tiempo de respuesta.</w:t>
      </w:r>
    </w:p>
    <w:p>
      <w:pPr>
        <w:pStyle w:val="ListNumber"/>
      </w:pPr>
      <w:r>
        <w:rPr>
          <w:rFonts w:ascii="Calibri" w:hAnsi="Calibri"/>
          <w:sz w:val="21"/>
        </w:rPr>
        <w:t>Integración controlada con sistemas existentes, sin dependencia ciega del legado.</w:t>
      </w:r>
    </w:p>
    <w:p>
      <w:pPr>
        <w:pStyle w:val="ListNumber"/>
      </w:pPr>
      <w:r>
        <w:rPr>
          <w:rFonts w:ascii="Calibri" w:hAnsi="Calibri"/>
          <w:sz w:val="21"/>
        </w:rPr>
        <w:t>Trazabilidad de acciones y decisiones como requisito de negocio.</w:t>
      </w:r>
    </w:p>
    <w:p>
      <w:pPr>
        <w:pStyle w:val="ListNumber"/>
      </w:pPr>
      <w:r>
        <w:rPr>
          <w:rFonts w:ascii="Calibri" w:hAnsi="Calibri"/>
          <w:sz w:val="21"/>
        </w:rPr>
        <w:t>Escalabilidad progresiva, sin sobredimensionar la etapa inicial.</w:t>
      </w:r>
    </w:p>
    <w:p>
      <w:pPr>
        <w:pStyle w:val="Heading1"/>
      </w:pPr>
      <w:r>
        <w:t>5. Metodología Híbrida (Clásica + Scrum)</w:t>
      </w:r>
    </w:p>
    <w:p>
      <w:pPr>
        <w:spacing w:after="120"/>
      </w:pPr>
      <w:r>
        <w:rPr>
          <w:rFonts w:ascii="Calibri" w:hAnsi="Calibri"/>
          <w:sz w:val="21"/>
        </w:rPr>
        <w:t>El proyecto se gestiona combinando lo mejor de dos enfoques. Del modelo clásico (PMO) toma el gobierno por etapas, los gates de aprobación y el control formal de alcance, costo y riesgo. Del modelo Scrum toma la entrega incremental: el trabajo se organiza en 13 sprints quincenales y al cierre de cada sprint hay una demostración (Sprint Review) donde gerencia ve avance real, no promesas.</w:t>
      </w:r>
    </w:p>
    <w:p>
      <w:pPr>
        <w:spacing w:after="120"/>
      </w:pPr>
      <w:r>
        <w:rPr>
          <w:rFonts w:ascii="Calibri" w:hAnsi="Calibri"/>
          <w:sz w:val="21"/>
        </w:rPr>
        <w:t>Sobre esos sprints se definen seis releases (R1–R6), que son los hitos formales de negocio. Cada release tiene un gate PM: una puerta de decisión donde se valida evidencia antes de avanzar.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Concepto</w:t>
            </w:r>
          </w:p>
        </w:tc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Definición práctica para gerencia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Sprint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Ciclo de 2 semanas con un objetivo concreto y una demo al final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Release (R1–R6)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Hito de negocio que agrupa varios sprints y habilita el siguiente tramo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Gate PM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Punto formal de control donde se aprueba (o no) el paso de fase con evidencia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Sprint Review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Demostración funcional al cierre de cada sprint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Lectura gerencial: el proyecto no avanza por acumulación de tareas, sino por cumplimiento verificable de resultados. Si un gate no se aprueba, no se avanza: así se evita el descontrol de alcance y las sorpresas al final.</w:t>
      </w:r>
    </w:p>
    <w:p>
      <w:pPr>
        <w:pStyle w:val="Heading1"/>
      </w:pPr>
      <w:r>
        <w:t>6. Alcance por Etapas</w:t>
      </w:r>
    </w:p>
    <w:p>
      <w:pPr>
        <w:pStyle w:val="Heading2"/>
      </w:pPr>
      <w:r>
        <w:t>6.1 Etapa 1 — Implementación Funcional Core</w:t>
      </w:r>
    </w:p>
    <w:p>
      <w:pPr>
        <w:spacing w:after="120"/>
      </w:pPr>
      <w:r>
        <w:rPr>
          <w:rFonts w:ascii="Calibri" w:hAnsi="Calibri"/>
          <w:sz w:val="21"/>
        </w:rPr>
        <w:t>Cobertura: Junio a Septiembre 2026 (Sprints S1–S8 · Releases R1–R4).</w:t>
      </w:r>
    </w:p>
    <w:p>
      <w:pPr>
        <w:spacing w:after="120"/>
      </w:pPr>
      <w:r>
        <w:rPr>
          <w:rFonts w:ascii="Calibri" w:hAnsi="Calibri"/>
          <w:sz w:val="21"/>
        </w:rPr>
        <w:t>En esta etapa se construye el corazón de la plataforma: arquitectura y base de datos, motor central en C++, accesos seguros, editor de informes tipo Word (ReportStudio), mapas mineros, integración de sensores, primeras capacidades de IA y el modo de trabajo offline. Es la fase que sostiene todo lo demás: si el núcleo queda bien resuelto, el endurecimiento posterior tiene base sólida.</w:t>
      </w:r>
    </w:p>
    <w:p>
      <w:pPr>
        <w:spacing w:after="120"/>
      </w:pPr>
      <w:r>
        <w:rPr>
          <w:rFonts w:ascii="Calibri" w:hAnsi="Calibri"/>
          <w:sz w:val="21"/>
        </w:rPr>
        <w:t>Resultados esperados de la Etapa 1:</w:t>
      </w:r>
    </w:p>
    <w:p>
      <w:pPr>
        <w:pStyle w:val="ListNumber"/>
      </w:pPr>
      <w:r>
        <w:rPr>
          <w:rFonts w:ascii="Calibri" w:hAnsi="Calibri"/>
          <w:sz w:val="21"/>
        </w:rPr>
        <w:t>Documento marco aprobado y gobernanza activa.</w:t>
      </w:r>
    </w:p>
    <w:p>
      <w:pPr>
        <w:pStyle w:val="ListNumber"/>
      </w:pPr>
      <w:r>
        <w:rPr>
          <w:rFonts w:ascii="Calibri" w:hAnsi="Calibri"/>
          <w:sz w:val="21"/>
        </w:rPr>
        <w:t>Infraestructura base preparada en Lima.</w:t>
      </w:r>
    </w:p>
    <w:p>
      <w:pPr>
        <w:pStyle w:val="ListNumber"/>
      </w:pPr>
      <w:r>
        <w:rPr>
          <w:rFonts w:ascii="Calibri" w:hAnsi="Calibri"/>
          <w:sz w:val="21"/>
        </w:rPr>
        <w:t>Motor central y servicios core operativos.</w:t>
      </w:r>
    </w:p>
    <w:p>
      <w:pPr>
        <w:pStyle w:val="ListNumber"/>
      </w:pPr>
      <w:r>
        <w:rPr>
          <w:rFonts w:ascii="Calibri" w:hAnsi="Calibri"/>
          <w:sz w:val="21"/>
        </w:rPr>
        <w:t>Editor documental funcional, con experiencia familiar para el usuario.</w:t>
      </w:r>
    </w:p>
    <w:p>
      <w:pPr>
        <w:pStyle w:val="ListNumber"/>
      </w:pPr>
      <w:r>
        <w:rPr>
          <w:rFonts w:ascii="Calibri" w:hAnsi="Calibri"/>
          <w:sz w:val="21"/>
        </w:rPr>
        <w:t>Mapa operativo con sensores, zonas y eventos.</w:t>
      </w:r>
    </w:p>
    <w:p>
      <w:pPr>
        <w:pStyle w:val="ListNumber"/>
      </w:pPr>
      <w:r>
        <w:rPr>
          <w:rFonts w:ascii="Calibri" w:hAnsi="Calibri"/>
          <w:sz w:val="21"/>
        </w:rPr>
        <w:t>Integración inicial con la fuente externa autorizada e información histórica.</w:t>
      </w:r>
    </w:p>
    <w:p>
      <w:pPr>
        <w:pStyle w:val="ListNumber"/>
      </w:pPr>
      <w:r>
        <w:rPr>
          <w:rFonts w:ascii="Calibri" w:hAnsi="Calibri"/>
          <w:sz w:val="21"/>
        </w:rPr>
        <w:t>Primer ciclo completo de pruebas funcionales del núcleo.</w:t>
      </w:r>
    </w:p>
    <w:p>
      <w:pPr>
        <w:pStyle w:val="Heading2"/>
      </w:pPr>
      <w:r>
        <w:t>6.2 Etapa 2 — Hardening, IA Avanzada y Go-Live</w:t>
      </w:r>
    </w:p>
    <w:p>
      <w:pPr>
        <w:spacing w:after="120"/>
      </w:pPr>
      <w:r>
        <w:rPr>
          <w:rFonts w:ascii="Calibri" w:hAnsi="Calibri"/>
          <w:sz w:val="21"/>
        </w:rPr>
        <w:t>Cobertura: Octubre a Noviembre 2026 (Sprints S9–S13 · Releases R5–R6).</w:t>
      </w:r>
    </w:p>
    <w:p>
      <w:pPr>
        <w:spacing w:after="120"/>
      </w:pPr>
      <w:r>
        <w:rPr>
          <w:rFonts w:ascii="Calibri" w:hAnsi="Calibri"/>
          <w:sz w:val="21"/>
        </w:rPr>
        <w:t>Aquí la plataforma funcional se transforma en una plataforma operable bajo exigencia real: blindaje de infraestructura, seguridad reforzada, recuperación ante desastres, prueba de carga con 10,000 sensores, IA avanzada (biometría, visión EPP, dictado por voz), UAT con usuarios de mina, marcha blanca y paso controlado a producción.</w:t>
      </w:r>
    </w:p>
    <w:p>
      <w:pPr>
        <w:spacing w:after="120"/>
      </w:pPr>
      <w:r>
        <w:rPr>
          <w:rFonts w:ascii="Calibri" w:hAnsi="Calibri"/>
          <w:sz w:val="21"/>
        </w:rPr>
        <w:t>Resultados esperados de la Etapa 2:</w:t>
      </w:r>
    </w:p>
    <w:p>
      <w:pPr>
        <w:pStyle w:val="ListNumber"/>
      </w:pPr>
      <w:r>
        <w:rPr>
          <w:rFonts w:ascii="Calibri" w:hAnsi="Calibri"/>
          <w:sz w:val="21"/>
        </w:rPr>
        <w:t>Infraestructura endurecida y validada.</w:t>
      </w:r>
    </w:p>
    <w:p>
      <w:pPr>
        <w:pStyle w:val="ListNumber"/>
      </w:pPr>
      <w:r>
        <w:rPr>
          <w:rFonts w:ascii="Calibri" w:hAnsi="Calibri"/>
          <w:sz w:val="21"/>
        </w:rPr>
        <w:t>IA avanzada y seguridad visual integradas.</w:t>
      </w:r>
    </w:p>
    <w:p>
      <w:pPr>
        <w:pStyle w:val="ListNumber"/>
      </w:pPr>
      <w:r>
        <w:rPr>
          <w:rFonts w:ascii="Calibri" w:hAnsi="Calibri"/>
          <w:sz w:val="21"/>
        </w:rPr>
        <w:t>Plataforma preparada para volumen alto de eventos.</w:t>
      </w:r>
    </w:p>
    <w:p>
      <w:pPr>
        <w:pStyle w:val="ListNumber"/>
      </w:pPr>
      <w:r>
        <w:rPr>
          <w:rFonts w:ascii="Calibri" w:hAnsi="Calibri"/>
          <w:sz w:val="21"/>
        </w:rPr>
        <w:t>Pruebas de resiliencia, usuarios y continuidad superadas.</w:t>
      </w:r>
    </w:p>
    <w:p>
      <w:pPr>
        <w:pStyle w:val="ListNumber"/>
      </w:pPr>
      <w:r>
        <w:rPr>
          <w:rFonts w:ascii="Calibri" w:hAnsi="Calibri"/>
          <w:sz w:val="21"/>
        </w:rPr>
        <w:t>Marcha blanca ejecutada y estabilización inicial asistida.</w:t>
      </w:r>
    </w:p>
    <w:p>
      <w:pPr>
        <w:pStyle w:val="ListNumber"/>
      </w:pPr>
      <w:r>
        <w:rPr>
          <w:rFonts w:ascii="Calibri" w:hAnsi="Calibri"/>
          <w:sz w:val="21"/>
        </w:rPr>
        <w:t>Transferencia de control y cierre formal del proyecto.</w:t>
      </w:r>
    </w:p>
    <w:p>
      <w:pPr>
        <w:pStyle w:val="Heading1"/>
      </w:pPr>
      <w:r>
        <w:t>7. Cronograma, Releases e Hitos</w:t>
      </w:r>
    </w:p>
    <w:p>
      <w:pPr>
        <w:spacing w:after="120"/>
      </w:pPr>
      <w:r>
        <w:rPr>
          <w:rFonts w:ascii="Calibri" w:hAnsi="Calibri"/>
          <w:sz w:val="21"/>
        </w:rPr>
        <w:t>El proyecto se ejecuta en 13 sprints quincenales agrupados en 6 releases. Cada release cierra con un gate PM que gerencia interpreta como una puerta de validación.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Release</w:t>
            </w:r>
          </w:p>
        </w:tc>
        <w:tc>
          <w:tcPr>
            <w:tcW w:type="dxa" w:w="1419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Etapa</w:t>
            </w:r>
          </w:p>
        </w:tc>
        <w:tc>
          <w:tcPr>
            <w:tcW w:type="dxa" w:w="1419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Sprint de cierre</w:t>
            </w:r>
          </w:p>
        </w:tc>
        <w:tc>
          <w:tcPr>
            <w:tcW w:type="dxa" w:w="1419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Fecha gate</w:t>
            </w:r>
          </w:p>
        </w:tc>
        <w:tc>
          <w:tcPr>
            <w:tcW w:type="dxa" w:w="1419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Criterio de aprobación</w:t>
            </w:r>
          </w:p>
        </w:tc>
        <w:tc>
          <w:tcPr>
            <w:tcW w:type="dxa" w:w="1419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Aprueba</w:t>
            </w:r>
          </w:p>
        </w:tc>
        <w:tc>
          <w:tcPr>
            <w:tcW w:type="dxa" w:w="1419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Evidencia requerida</w:t>
            </w:r>
          </w:p>
        </w:tc>
      </w:tr>
      <w:tr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R1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Etapa 1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S2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2026-06-30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Diseño y arquitectura aprobados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ARQ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Acta gate + demo shell + esquema BD</w:t>
            </w:r>
          </w:p>
        </w:tc>
      </w:tr>
      <w:tr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R2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Etapa 1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S4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2026-07-31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Motor operacional + seguridad base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ARQ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Demo telemetría + RBAC + VPS dev</w:t>
            </w:r>
          </w:p>
        </w:tc>
      </w:tr>
      <w:tr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R3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Etapa 1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S6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2026-08-31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Editor + sensores + IA base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ARQ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Demo editor + mapa + sensores en vivo</w:t>
            </w:r>
          </w:p>
        </w:tc>
      </w:tr>
      <w:tr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R4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Etapa 1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S8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2026-09-30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Sistema integrado e2e — FIN ETAPA 1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Gerencia + ARQ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Demo offline + informe QA Etapa 1</w:t>
            </w:r>
          </w:p>
        </w:tc>
      </w:tr>
      <w:tr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R5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Etapa 2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S11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2026-10-31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Hardening + DR + optimización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ARQ + Gerencia TI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Pentest + simulacro DR + carga</w:t>
            </w:r>
          </w:p>
        </w:tc>
      </w:tr>
      <w:tr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R6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Etapa 2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S13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2026-11-30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Go-Live producción — FIN PROYECTO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Gerencia General</w:t>
            </w:r>
          </w:p>
        </w:tc>
        <w:tc>
          <w:tcPr>
            <w:tcW w:type="dxa" w:w="1419"/>
            <w:vAlign w:val="center"/>
          </w:tcPr>
          <w:p>
            <w:r>
              <w:rPr>
                <w:rFonts w:ascii="Calibri" w:hAnsi="Calibri"/>
                <w:sz w:val="19"/>
              </w:rPr>
              <w:t>Acta Go-Live + handover + kit documental</w:t>
            </w:r>
          </w:p>
        </w:tc>
      </w:tr>
    </w:tbl>
    <w:p/>
    <w:p>
      <w:pPr>
        <w:pStyle w:val="Heading2"/>
      </w:pPr>
      <w:r>
        <w:t>7.1 Detalle de sprints (objetivo y demo)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Sprint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Fechas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Release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Objetivo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Demo de cierre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S1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01–12 jun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R1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Arranque y alcance acordado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Presentación ejecutiva de alcance e hitos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S2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15–26 jun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R1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Base técnica y diseño de datos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Shell ReportStudio + diagrama de datos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S3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29 jun–10 jul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R2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Motor del servidor y acceso seguro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Login + recepción de sensores en vivo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S4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13–24 jul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R2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Permisos, guardado y telemetría base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Perfiles diferenciados + auto-guardado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S5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27 jul–07 ago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R3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Editor de informes y mapa minero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Informe con formato + ubicación en mapa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S6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10–21 ago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R3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Sensores, voz e IA base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Dashboard de 10k sensores + dictado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S7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24 ago–04 sep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R4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Exportación e integraciones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Informe PDF + panel gerencial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S8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07–18 sep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R4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Modo offline y validación integral E1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Editar sin internet, reconectar y sincronizar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S9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21 sep–02 oct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R5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Rendimiento y seguridad aplicativa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Informe de rendimiento + pentest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S10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05–16 oct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R5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Continuidad y recuperación (DR)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Simulacro de recuperación + monitoreo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S11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19–30 oct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R5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Optimización final pre-UAT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Comparativa de rendimiento + matriz de cierre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S12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02–13 nov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R6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Estrés, UAT y marcha blanca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UAT en campo + prueba 10k + marcha blanca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S13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16–27 nov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R6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Go-Live y transferencia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Sistema en producción + acta Go-Live</w:t>
            </w:r>
          </w:p>
        </w:tc>
      </w:tr>
    </w:tbl>
    <w:p/>
    <w:p>
      <w:pPr>
        <w:pStyle w:val="Heading1"/>
      </w:pPr>
      <w:r>
        <w:t>8. Entregables Principales</w:t>
      </w:r>
    </w:p>
    <w:p>
      <w:pPr>
        <w:pStyle w:val="Heading2"/>
      </w:pPr>
      <w:r>
        <w:t>8.1 Etapa 1</w:t>
      </w:r>
    </w:p>
    <w:p>
      <w:pPr>
        <w:pStyle w:val="ListNumber"/>
      </w:pPr>
      <w:r>
        <w:rPr>
          <w:rFonts w:ascii="Calibri" w:hAnsi="Calibri"/>
          <w:sz w:val="21"/>
        </w:rPr>
        <w:t>SOW maestro y paquete de arranque del proyecto.</w:t>
      </w:r>
    </w:p>
    <w:p>
      <w:pPr>
        <w:pStyle w:val="ListNumber"/>
      </w:pPr>
      <w:r>
        <w:rPr>
          <w:rFonts w:ascii="Calibri" w:hAnsi="Calibri"/>
          <w:sz w:val="21"/>
        </w:rPr>
        <w:t>Arquitectura objetivo, reglas de conectividad y niveles de servicio.</w:t>
      </w:r>
    </w:p>
    <w:p>
      <w:pPr>
        <w:pStyle w:val="ListNumber"/>
      </w:pPr>
      <w:r>
        <w:rPr>
          <w:rFonts w:ascii="Calibri" w:hAnsi="Calibri"/>
          <w:sz w:val="21"/>
        </w:rPr>
        <w:t>Infraestructura base en Lima.</w:t>
      </w:r>
    </w:p>
    <w:p>
      <w:pPr>
        <w:pStyle w:val="ListNumber"/>
      </w:pPr>
      <w:r>
        <w:rPr>
          <w:rFonts w:ascii="Calibri" w:hAnsi="Calibri"/>
          <w:sz w:val="21"/>
        </w:rPr>
        <w:t>Motor central de servicios, seguridad, trazabilidad y versionado.</w:t>
      </w:r>
    </w:p>
    <w:p>
      <w:pPr>
        <w:pStyle w:val="ListNumber"/>
      </w:pPr>
      <w:r>
        <w:rPr>
          <w:rFonts w:ascii="Calibri" w:hAnsi="Calibri"/>
          <w:sz w:val="21"/>
        </w:rPr>
        <w:t>Editor maestro de informes con tablas, estilos, plantillas y exportación.</w:t>
      </w:r>
    </w:p>
    <w:p>
      <w:pPr>
        <w:pStyle w:val="ListNumber"/>
      </w:pPr>
      <w:r>
        <w:rPr>
          <w:rFonts w:ascii="Calibri" w:hAnsi="Calibri"/>
          <w:sz w:val="21"/>
        </w:rPr>
        <w:t>Visualización GIS con sensores, capas y zonas operativas.</w:t>
      </w:r>
    </w:p>
    <w:p>
      <w:pPr>
        <w:pStyle w:val="ListNumber"/>
      </w:pPr>
      <w:r>
        <w:rPr>
          <w:rFonts w:ascii="Calibri" w:hAnsi="Calibri"/>
          <w:sz w:val="21"/>
        </w:rPr>
        <w:t>Integración con fuentes históricas y operativas autorizadas.</w:t>
      </w:r>
    </w:p>
    <w:p>
      <w:pPr>
        <w:pStyle w:val="ListNumber"/>
      </w:pPr>
      <w:r>
        <w:rPr>
          <w:rFonts w:ascii="Calibri" w:hAnsi="Calibri"/>
          <w:sz w:val="21"/>
        </w:rPr>
        <w:t>Modo de trabajo offline con mecanismo de reconciliación.</w:t>
      </w:r>
    </w:p>
    <w:p>
      <w:pPr>
        <w:pStyle w:val="ListNumber"/>
      </w:pPr>
      <w:r>
        <w:rPr>
          <w:rFonts w:ascii="Calibri" w:hAnsi="Calibri"/>
          <w:sz w:val="21"/>
        </w:rPr>
        <w:t>Pruebas funcionales del núcleo documentadas.</w:t>
      </w:r>
    </w:p>
    <w:p>
      <w:pPr>
        <w:pStyle w:val="Heading2"/>
      </w:pPr>
      <w:r>
        <w:t>8.2 Etapa 2</w:t>
      </w:r>
    </w:p>
    <w:p>
      <w:pPr>
        <w:pStyle w:val="ListNumber"/>
      </w:pPr>
      <w:r>
        <w:rPr>
          <w:rFonts w:ascii="Calibri" w:hAnsi="Calibri"/>
          <w:sz w:val="21"/>
        </w:rPr>
        <w:t>Hardening completo de plataforma e infraestructura.</w:t>
      </w:r>
    </w:p>
    <w:p>
      <w:pPr>
        <w:pStyle w:val="ListNumber"/>
      </w:pPr>
      <w:r>
        <w:rPr>
          <w:rFonts w:ascii="Calibri" w:hAnsi="Calibri"/>
          <w:sz w:val="21"/>
        </w:rPr>
        <w:t>Canales seguros, cifrado y segmentación.</w:t>
      </w:r>
    </w:p>
    <w:p>
      <w:pPr>
        <w:pStyle w:val="ListNumber"/>
      </w:pPr>
      <w:r>
        <w:rPr>
          <w:rFonts w:ascii="Calibri" w:hAnsi="Calibri"/>
          <w:sz w:val="21"/>
        </w:rPr>
        <w:t>IA avanzada, biometría y detección de condiciones operativas (EPP).</w:t>
      </w:r>
    </w:p>
    <w:p>
      <w:pPr>
        <w:pStyle w:val="ListNumber"/>
      </w:pPr>
      <w:r>
        <w:rPr>
          <w:rFonts w:ascii="Calibri" w:hAnsi="Calibri"/>
          <w:sz w:val="21"/>
        </w:rPr>
        <w:t>Capacidad reforzada para monitoreo intensivo de fuentes de datos.</w:t>
      </w:r>
    </w:p>
    <w:p>
      <w:pPr>
        <w:pStyle w:val="ListNumber"/>
      </w:pPr>
      <w:r>
        <w:rPr>
          <w:rFonts w:ascii="Calibri" w:hAnsi="Calibri"/>
          <w:sz w:val="21"/>
        </w:rPr>
        <w:t>Plan de recuperación ante desastres y respaldo geográfico.</w:t>
      </w:r>
    </w:p>
    <w:p>
      <w:pPr>
        <w:pStyle w:val="ListNumber"/>
      </w:pPr>
      <w:r>
        <w:rPr>
          <w:rFonts w:ascii="Calibri" w:hAnsi="Calibri"/>
          <w:sz w:val="21"/>
        </w:rPr>
        <w:t>Evidencia de pruebas de estrés, seguridad y resiliencia.</w:t>
      </w:r>
    </w:p>
    <w:p>
      <w:pPr>
        <w:pStyle w:val="ListNumber"/>
      </w:pPr>
      <w:r>
        <w:rPr>
          <w:rFonts w:ascii="Calibri" w:hAnsi="Calibri"/>
          <w:sz w:val="21"/>
        </w:rPr>
        <w:t>UAT, marcha blanca y salida controlada a producción.</w:t>
      </w:r>
    </w:p>
    <w:p>
      <w:pPr>
        <w:pStyle w:val="ListNumber"/>
      </w:pPr>
      <w:r>
        <w:rPr>
          <w:rFonts w:ascii="Calibri" w:hAnsi="Calibri"/>
          <w:sz w:val="21"/>
        </w:rPr>
        <w:t>Capacitación, transferencia de control y cierre formal.</w:t>
      </w:r>
    </w:p>
    <w:p>
      <w:pPr>
        <w:pStyle w:val="Heading1"/>
      </w:pPr>
      <w:r>
        <w:t>9. Equipo del Proyecto — 10 Recursos Especializados</w:t>
      </w:r>
    </w:p>
    <w:p>
      <w:pPr>
        <w:spacing w:after="120"/>
      </w:pPr>
      <w:r>
        <w:rPr>
          <w:rFonts w:ascii="Calibri" w:hAnsi="Calibri"/>
          <w:sz w:val="21"/>
        </w:rPr>
        <w:t>El proyecto se ejecuta con un equipo de diez recursos, dimensionado para una carga del 90–100% en los meses activos de cada rol. Cada frente tiene un responsable claro, sin vacíos entre arquitectura, desarrollo, integración, calidad, infraestructura y PMO.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Cód.</w:t>
            </w:r>
          </w:p>
        </w:tc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Rol</w:t>
            </w:r>
          </w:p>
        </w:tc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Función principal</w:t>
            </w:r>
          </w:p>
        </w:tc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Meses activos</w:t>
            </w:r>
          </w:p>
        </w:tc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Horas</w:t>
            </w:r>
          </w:p>
        </w:tc>
        <w:tc>
          <w:tcPr>
            <w:tcW w:type="dxa" w:w="1656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Carga prom.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BE1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Backend 1 — Core C++ / OpenCV / Sockets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Núcleo C++ tiempo real, telemetría, APIs core, exportación, cola offline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Jun–Nov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978 h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92.0%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BE2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Backend 2 — Seguridad, Biometría, IA aplicada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RBAC/JWT/OWASP, biometría, gateway IA, auditoría de accesos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Jun–Nov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985 h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92.7%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BE3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Backend 3 — DBA / AWS / ETL / Recovery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PostgreSQL, sync AWS, ETL, backups, replicación y DR de datos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Jun–Nov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1,009 h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95.0%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FE1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Frontend 1 — Interfaces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Shell UI, editor ReportStudio, mapas, dashboards (único FE en mes 1)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Jun–Nov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1,042 h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98.0%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FE2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Frontend 2 — UX y Soporte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UX tablet, accesibilidad industrial, pruebas de campo y UAT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Jul–Nov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836 h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94.5%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ARQ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Arquitecto TI / PMO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Gobierno técnico, gates R1–R6, DRP, UAT ejecutivo, go-live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Jun–Nov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1,026 h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96.5%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SYS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Infraestructura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VPS/Docker, CI/CD, Prometheus/Grafana, hardening, DRP técnico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Jul–Nov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852 h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96.3%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QA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Calidad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13 suites funcionales, pentest funcional, load test 10k, UAT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Jul–Nov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850 h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96.1%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IA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IA-ML — Modelos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STT, NLP, OCR, biometría ONNX, visión EPP, modelos locales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Jul–Nov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866 h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97.9%</w:t>
            </w:r>
          </w:p>
        </w:tc>
      </w:tr>
      <w:tr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PAF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Soporte PMO — Analista Funcional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ClickUp, actas, trazabilidad requisito-entregable, manuales y capacitación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Jun–Nov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997 h</w:t>
            </w:r>
          </w:p>
        </w:tc>
        <w:tc>
          <w:tcPr>
            <w:tcW w:type="dxa" w:w="1656"/>
            <w:vAlign w:val="center"/>
          </w:tcPr>
          <w:p>
            <w:r>
              <w:rPr>
                <w:rFonts w:ascii="Calibri" w:hAnsi="Calibri"/>
                <w:sz w:val="19"/>
              </w:rPr>
              <w:t>93.8%</w:t>
            </w:r>
          </w:p>
        </w:tc>
      </w:tr>
    </w:tbl>
    <w:p/>
    <w:p>
      <w:pPr>
        <w:pStyle w:val="Heading2"/>
      </w:pPr>
      <w:r>
        <w:t>9.1 Por qué cada rol es obligatorio (lectura ejecutiva)</w:t>
      </w:r>
    </w:p>
    <w:p>
      <w:pPr>
        <w:pStyle w:val="ListNumber"/>
      </w:pPr>
      <w:r>
        <w:rPr>
          <w:rFonts w:ascii="Calibri" w:hAnsi="Calibri"/>
          <w:sz w:val="21"/>
        </w:rPr>
        <w:t>BE1 es dueño del núcleo C++ en tiempo real: sin él no hay telemetría en vivo ni operación offline.</w:t>
      </w:r>
    </w:p>
    <w:p>
      <w:pPr>
        <w:pStyle w:val="ListNumber"/>
      </w:pPr>
      <w:r>
        <w:rPr>
          <w:rFonts w:ascii="Calibri" w:hAnsi="Calibri"/>
          <w:sz w:val="21"/>
        </w:rPr>
        <w:t>BE2 concentra la seguridad y la IA aplicada; no es absorbible por el core sin sacrificar la ruta crítica.</w:t>
      </w:r>
    </w:p>
    <w:p>
      <w:pPr>
        <w:pStyle w:val="ListNumber"/>
      </w:pPr>
      <w:r>
        <w:rPr>
          <w:rFonts w:ascii="Calibri" w:hAnsi="Calibri"/>
          <w:sz w:val="21"/>
        </w:rPr>
        <w:t>BE3 sostiene la base de datos, la integración con AWS y la recuperación: garantiza que el dato no se pierda.</w:t>
      </w:r>
    </w:p>
    <w:p>
      <w:pPr>
        <w:pStyle w:val="ListNumber"/>
      </w:pPr>
      <w:r>
        <w:rPr>
          <w:rFonts w:ascii="Calibri" w:hAnsi="Calibri"/>
          <w:sz w:val="21"/>
        </w:rPr>
        <w:t>FE1 es el único frontend del mes 1; sin él, el cronograma se retrasa desde el arranque.</w:t>
      </w:r>
    </w:p>
    <w:p>
      <w:pPr>
        <w:pStyle w:val="ListNumber"/>
      </w:pPr>
      <w:r>
        <w:rPr>
          <w:rFonts w:ascii="Calibri" w:hAnsi="Calibri"/>
          <w:sz w:val="21"/>
        </w:rPr>
        <w:t>FE2 valida la experiencia en condiciones reales de mina (guantes, poca luz, tablet), clave para la adopción.</w:t>
      </w:r>
    </w:p>
    <w:p>
      <w:pPr>
        <w:pStyle w:val="ListNumber"/>
      </w:pPr>
      <w:r>
        <w:rPr>
          <w:rFonts w:ascii="Calibri" w:hAnsi="Calibri"/>
          <w:sz w:val="21"/>
        </w:rPr>
        <w:t>ARQ gobierna las decisiones técnicas y firma los gates; es el sponsor técnico ante el directorio.</w:t>
      </w:r>
    </w:p>
    <w:p>
      <w:pPr>
        <w:pStyle w:val="ListNumber"/>
      </w:pPr>
      <w:r>
        <w:rPr>
          <w:rFonts w:ascii="Calibri" w:hAnsi="Calibri"/>
          <w:sz w:val="21"/>
        </w:rPr>
        <w:t>SYS asegura infraestructura, despliegues y disponibilidad: sin él no hay SLA sostenible.</w:t>
      </w:r>
    </w:p>
    <w:p>
      <w:pPr>
        <w:pStyle w:val="ListNumber"/>
      </w:pPr>
      <w:r>
        <w:rPr>
          <w:rFonts w:ascii="Calibri" w:hAnsi="Calibri"/>
          <w:sz w:val="21"/>
        </w:rPr>
        <w:t>QA aporta independencia de calidad exigida por auditoría: quien desarrolla no certifica.</w:t>
      </w:r>
    </w:p>
    <w:p>
      <w:pPr>
        <w:pStyle w:val="ListNumber"/>
      </w:pPr>
      <w:r>
        <w:rPr>
          <w:rFonts w:ascii="Calibri" w:hAnsi="Calibri"/>
          <w:sz w:val="21"/>
        </w:rPr>
        <w:t>IA posee la competencia de modelos (voz, visión EPP, biometría) que ningún otro rol cubre.</w:t>
      </w:r>
    </w:p>
    <w:p>
      <w:pPr>
        <w:pStyle w:val="ListNumber"/>
      </w:pPr>
      <w:r>
        <w:rPr>
          <w:rFonts w:ascii="Calibri" w:hAnsi="Calibri"/>
          <w:sz w:val="21"/>
        </w:rPr>
        <w:t>PAF libera carga de PMO de ARQ y del equipo, y es el único responsable de capacitación y trazabilidad documental.</w:t>
      </w:r>
    </w:p>
    <w:p>
      <w:pPr>
        <w:pStyle w:val="Heading1"/>
      </w:pPr>
      <w:r>
        <w:t>10. Trazabilidad de Alcance (Cobertura 100%)</w:t>
      </w:r>
    </w:p>
    <w:p>
      <w:pPr>
        <w:spacing w:after="120"/>
      </w:pPr>
      <w:r>
        <w:rPr>
          <w:rFonts w:ascii="Calibri" w:hAnsi="Calibri"/>
          <w:sz w:val="21"/>
        </w:rPr>
        <w:t>Cada entregable del SOW está vinculado a un sprint, una release y un gate. Esto garantiza que ningún alcance comprometido quede sin responsable ni sin punto de control.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Etapa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Entregable / Alcance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Sprint(s)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Release</w:t>
            </w:r>
          </w:p>
        </w:tc>
        <w:tc>
          <w:tcPr>
            <w:tcW w:type="dxa" w:w="1987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Gate / Criterio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E1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SOW maestro y arranque del proyecto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S1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R1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Gate PM-0: aprobación de inicio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E1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Arquitectura objetivo y niveles de servicio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S2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R1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Gate R1: diseño aprobado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E1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Infraestructura base en Lima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S2–S4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R1–R2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Gate R2: VPS desarrollo operativo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E1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Motor central: seguridad, trazabilidad, versionado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S3–S4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R2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Gate R2: motor + RBAC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E1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Editor maestro de informes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S5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R3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Editor ReportStudio en demo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E1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GIS: sensores, capas y zonas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S5–S6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R3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Gate R3: editor + GIS + dashboards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E1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Integración con fuentes históricas/operativas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S3–S7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R2–R4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ETL POC S3, integración e2e S7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E1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Modo offline con reconciliación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S8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R4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Demo offline + sync sin pérdida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E1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Pruebas funcionales del núcleo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S7–S8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R4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Gate R4 / FIN E1: e2e + acta QA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E2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Hardening completo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S9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R5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Pentest OWASP + cierre P0/P1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E2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Canales seguros, cifrado, segmentación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S9–S10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R5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WireGuard/Nginx + cifrado validado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E2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IA avanzada, biometría, visión EPP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S6, S11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R3, R5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Modelos afinados pre-UAT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E2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Monitoreo intensivo 10k sensores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S6, S12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R3, R6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Estrés 10k cumple SLA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E2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DR y respaldo geográfico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S10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R5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Simulacro DR &lt; 15 min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E2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Evidencia de estrés, seguridad y resiliencia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S9–S12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R5–R6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Load test incremental + informe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E2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UAT, marcha blanca y salida a producción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S12–S13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R6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UAT aprobado + marcha blanca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E2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Capacitación, transferencia y cierre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S13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R6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Calibri" w:hAnsi="Calibri"/>
                <w:sz w:val="19"/>
              </w:rPr>
              <w:t>Gate R6 / FIN: Go-Live + handover</w:t>
            </w:r>
          </w:p>
        </w:tc>
      </w:tr>
    </w:tbl>
    <w:p/>
    <w:p>
      <w:pPr>
        <w:pStyle w:val="Heading1"/>
      </w:pPr>
      <w:r>
        <w:t>11. Modelo de Gobernanza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Nivel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Participantes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Frecuencia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Objetivo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Ejecutivo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Gerencia General, Sponsor, líder del proveedor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Mensual o por hito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Decisiones de continuidad, prioridad y escalamiento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Técnico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Gerencia TI, Arquitecto (ARQ), líderes funcionales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Semanal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Alcance, riesgos, dependencias y calidad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Operativo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PMO (PAF), responsables de frente, usuarios clave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Semanal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Avances, observaciones y coordinación de entregables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Principios: un único control de alcance aprobado; revisión por gates, no por percepciones; registro formal de decisiones; gestión de cambios controlada; y escalamiento temprano de dependencias del cliente.</w:t>
      </w:r>
    </w:p>
    <w:p>
      <w:pPr>
        <w:pStyle w:val="Heading1"/>
      </w:pPr>
      <w:r>
        <w:t>12. Criterios de Aceptación</w:t>
      </w:r>
    </w:p>
    <w:p>
      <w:pPr>
        <w:spacing w:after="120"/>
      </w:pPr>
      <w:r>
        <w:rPr>
          <w:rFonts w:ascii="Calibri" w:hAnsi="Calibri"/>
          <w:sz w:val="21"/>
        </w:rPr>
        <w:t>Cada hito se aprueba con evidencia objetiva, no solo con demostraciones:</w:t>
      </w:r>
    </w:p>
    <w:p>
      <w:pPr>
        <w:pStyle w:val="ListNumber"/>
      </w:pPr>
      <w:r>
        <w:rPr>
          <w:rFonts w:ascii="Calibri" w:hAnsi="Calibri"/>
          <w:sz w:val="21"/>
        </w:rPr>
        <w:t>Entregable presentado formalmente al comité o contraparte.</w:t>
      </w:r>
    </w:p>
    <w:p>
      <w:pPr>
        <w:pStyle w:val="ListNumber"/>
      </w:pPr>
      <w:r>
        <w:rPr>
          <w:rFonts w:ascii="Calibri" w:hAnsi="Calibri"/>
          <w:sz w:val="21"/>
        </w:rPr>
        <w:t>Evidencia técnica o funcional disponible para revisión.</w:t>
      </w:r>
    </w:p>
    <w:p>
      <w:pPr>
        <w:pStyle w:val="ListNumber"/>
      </w:pPr>
      <w:r>
        <w:rPr>
          <w:rFonts w:ascii="Calibri" w:hAnsi="Calibri"/>
          <w:sz w:val="21"/>
        </w:rPr>
        <w:t>Validación de cumplimiento contra el objetivo del hito.</w:t>
      </w:r>
    </w:p>
    <w:p>
      <w:pPr>
        <w:pStyle w:val="ListNumber"/>
      </w:pPr>
      <w:r>
        <w:rPr>
          <w:rFonts w:ascii="Calibri" w:hAnsi="Calibri"/>
          <w:sz w:val="21"/>
        </w:rPr>
        <w:t>Observaciones clasificadas y tratadas dentro del plazo.</w:t>
      </w:r>
    </w:p>
    <w:p>
      <w:pPr>
        <w:pStyle w:val="ListNumber"/>
      </w:pPr>
      <w:r>
        <w:rPr>
          <w:rFonts w:ascii="Calibri" w:hAnsi="Calibri"/>
          <w:sz w:val="21"/>
        </w:rPr>
        <w:t>Conformidad expresa o tácita dentro de la ventana de revisión (5 días hábiles).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Dominio</w:t>
            </w:r>
          </w:p>
        </w:tc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Criterio mínimo de aceptación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Editor documental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Edición, estilos, tablas, plantillas, guardado y exportación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Sensores y monitoreo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Visualización con trazabilidad y respuesta consistente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GIS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Mapa operativo con sensores y contexto relevante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Offline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Operar sin conectividad y reconciliar sin pérdida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Seguridad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Accesos, trazabilidad, cifrado y controles en entorno objetivo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IA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Funciones priorizadas operando en condiciones de negocio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Go-Live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UAT, marcha blanca y estabilización completadas</w:t>
            </w:r>
          </w:p>
        </w:tc>
      </w:tr>
    </w:tbl>
    <w:p/>
    <w:p>
      <w:pPr>
        <w:pStyle w:val="Heading1"/>
      </w:pPr>
      <w:r>
        <w:t>13. Gestión de Riesgos</w:t>
      </w:r>
    </w:p>
    <w:p>
      <w:pPr>
        <w:pStyle w:val="Heading2"/>
      </w:pPr>
      <w:r>
        <w:t>13.1 Riesgos de la Etapa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Impacto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Riesgo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Respuesta de control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Responsable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Retraso en aprobación de arquitectura (Mes 1)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Gate ARQ semana 4 (S2), comité semanal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ARQ, PAF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Complejidad del núcleo C++ tiempo real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Modularización + revisiones de código quincenales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BE1, ARQ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Integración con AWS y datos legacy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ETL incremental, POC sync en S3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BE3, SYS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Ampliación de alcance sin control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Change control formal aprobado por comité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ARQ, PAF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Seguridad incompleta antes de R4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BE2 líder desde S3, gate de seguridad pre-R4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BE2, QA</w:t>
            </w:r>
          </w:p>
        </w:tc>
      </w:tr>
    </w:tbl>
    <w:p/>
    <w:p>
      <w:pPr>
        <w:pStyle w:val="Heading2"/>
      </w:pPr>
      <w:r>
        <w:t>13.2 Riesgos de la Etapa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Impacto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Riesgo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Respuesta de control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Responsable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Hallazgos críticos en pentest OWASP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Pentest progresivo desde S9, buffer S11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BE2, QA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Fallo en simulacro de recuperación (DR)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Simulacro S10, runbooks, segundo intento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BE3, SYS, ARQ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Alto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Carga 10k sensores no cumple SLA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Load test incremental S9–S12, tuning sockets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BE1, QA, SYS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Rechazo parcial en UAT de mina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FE2 acompaña en campo, marcha blanca S12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FE2, QA, ARQ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Medio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Equipo al 95–100% sin margen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S13 dedicado a hotfixes, ARQ prioriza P0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ARQ, PAF</w:t>
            </w:r>
          </w:p>
        </w:tc>
      </w:tr>
    </w:tbl>
    <w:p/>
    <w:p>
      <w:pPr>
        <w:pStyle w:val="Heading1"/>
      </w:pPr>
      <w:r>
        <w:t>14. Supuestos, Dependencias y Exclusiones</w:t>
      </w:r>
    </w:p>
    <w:p>
      <w:pPr>
        <w:pStyle w:val="Heading2"/>
      </w:pPr>
      <w:r>
        <w:t>14.1 Dependencias críticas del cliente</w:t>
      </w:r>
    </w:p>
    <w:p>
      <w:pPr>
        <w:pStyle w:val="ListNumber"/>
      </w:pPr>
      <w:r>
        <w:rPr>
          <w:rFonts w:ascii="Calibri" w:hAnsi="Calibri"/>
          <w:sz w:val="21"/>
        </w:rPr>
        <w:t>Definición de responsables de aprobación por hito.</w:t>
      </w:r>
    </w:p>
    <w:p>
      <w:pPr>
        <w:pStyle w:val="ListNumber"/>
      </w:pPr>
      <w:r>
        <w:rPr>
          <w:rFonts w:ascii="Calibri" w:hAnsi="Calibri"/>
          <w:sz w:val="21"/>
        </w:rPr>
        <w:t>Habilitación de accesos a fuentes de datos y ambientes requeridos.</w:t>
      </w:r>
    </w:p>
    <w:p>
      <w:pPr>
        <w:pStyle w:val="ListNumber"/>
      </w:pPr>
      <w:r>
        <w:rPr>
          <w:rFonts w:ascii="Calibri" w:hAnsi="Calibri"/>
          <w:sz w:val="21"/>
        </w:rPr>
        <w:t>Entrega de insumos funcionales para configuración y pruebas.</w:t>
      </w:r>
    </w:p>
    <w:p>
      <w:pPr>
        <w:pStyle w:val="ListNumber"/>
      </w:pPr>
      <w:r>
        <w:rPr>
          <w:rFonts w:ascii="Calibri" w:hAnsi="Calibri"/>
          <w:sz w:val="21"/>
        </w:rPr>
        <w:t>Disponibilidad de usuarios operativos para UAT y marcha blanca.</w:t>
      </w:r>
    </w:p>
    <w:p>
      <w:pPr>
        <w:pStyle w:val="Heading2"/>
      </w:pPr>
      <w:r>
        <w:t>14.2 Exclusiones (salvo control de cambios)</w:t>
      </w:r>
    </w:p>
    <w:p>
      <w:pPr>
        <w:pStyle w:val="ListNumber"/>
      </w:pPr>
      <w:r>
        <w:rPr>
          <w:rFonts w:ascii="Calibri" w:hAnsi="Calibri"/>
          <w:sz w:val="21"/>
        </w:rPr>
        <w:t>Aplicaciones móviles nativas fuera del alcance descrito.</w:t>
      </w:r>
    </w:p>
    <w:p>
      <w:pPr>
        <w:pStyle w:val="ListNumber"/>
      </w:pPr>
      <w:r>
        <w:rPr>
          <w:rFonts w:ascii="Calibri" w:hAnsi="Calibri"/>
          <w:sz w:val="21"/>
        </w:rPr>
        <w:t>Integraciones con terceros ajenos a la fuente autorizada.</w:t>
      </w:r>
    </w:p>
    <w:p>
      <w:pPr>
        <w:pStyle w:val="ListNumber"/>
      </w:pPr>
      <w:r>
        <w:rPr>
          <w:rFonts w:ascii="Calibri" w:hAnsi="Calibri"/>
          <w:sz w:val="21"/>
        </w:rPr>
        <w:t>Personalizaciones ilimitadas por área u unidad.</w:t>
      </w:r>
    </w:p>
    <w:p>
      <w:pPr>
        <w:pStyle w:val="ListNumber"/>
      </w:pPr>
      <w:r>
        <w:rPr>
          <w:rFonts w:ascii="Calibri" w:hAnsi="Calibri"/>
          <w:sz w:val="21"/>
        </w:rPr>
        <w:t>Cambios introducidos fuera del proceso de gestión de cambios.</w:t>
      </w:r>
    </w:p>
    <w:p>
      <w:pPr>
        <w:pStyle w:val="ListNumber"/>
      </w:pPr>
      <w:r>
        <w:rPr>
          <w:rFonts w:ascii="Calibri" w:hAnsi="Calibri"/>
          <w:sz w:val="21"/>
        </w:rPr>
        <w:t>Soporte extendido más allá del periodo inicial de estabilización.</w:t>
      </w:r>
    </w:p>
    <w:p>
      <w:pPr>
        <w:pStyle w:val="Heading1"/>
      </w:pPr>
      <w:r>
        <w:t>15. Gestión de Cambios</w:t>
      </w:r>
    </w:p>
    <w:p>
      <w:pPr>
        <w:spacing w:after="120"/>
      </w:pPr>
      <w:r>
        <w:rPr>
          <w:rFonts w:ascii="Calibri" w:hAnsi="Calibri"/>
          <w:sz w:val="21"/>
        </w:rPr>
        <w:t>Todo cambio que afecte alcance, plazo, entregables o criterios de aceptación se procesa por solicitud formal, evaluación de impacto y aprobación del comité. No se incorporan cambios relevantes por vía informal, y los aprobados se reflejan en el plan maestro y en la trazabilidad de entregables.</w:t>
      </w:r>
    </w:p>
    <w:p>
      <w:pPr>
        <w:pStyle w:val="Heading1"/>
      </w:pPr>
      <w:r>
        <w:t>16. Referencia Económica (Recalculada sobre 10 Recursos v36)</w:t>
      </w:r>
    </w:p>
    <w:p>
      <w:pPr>
        <w:spacing w:after="120"/>
      </w:pPr>
      <w:r>
        <w:rPr>
          <w:rFonts w:ascii="Calibri" w:hAnsi="Calibri"/>
          <w:sz w:val="21"/>
        </w:rPr>
        <w:t>La estimación se recalcula a partir del equipo real de diez recursos del plan v36, con el método tarifa mensual × meses activos. Incorpora a PAF (antes no presupuestado) con tarifa de USD 1,500/mes.</w:t>
      </w:r>
    </w:p>
    <w:p>
      <w:pPr>
        <w:pStyle w:val="Heading2"/>
      </w:pPr>
      <w:r>
        <w:t>16.1 Costo directo de recursos (base RR.HH.)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Recurso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Tarifa/mes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Meses activos</w:t>
            </w:r>
          </w:p>
        </w:tc>
        <w:tc>
          <w:tcPr>
            <w:tcW w:type="dxa" w:w="2484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Subtotal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BE1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1,900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11,400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BE2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1,900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11,400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BE3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1,900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11,400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ARQ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1,900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11,400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IA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1,900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9,500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FE1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1,800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10,800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FE2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1,800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9,000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SYS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1,800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9,000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QA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1,800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9,000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PAF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1,500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9,000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Base RR.HH.</w:t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84"/>
            <w:vAlign w:val="center"/>
          </w:tcPr>
          <w:p>
            <w:r>
              <w:rPr>
                <w:rFonts w:ascii="Calibri" w:hAnsi="Calibri"/>
                <w:sz w:val="19"/>
              </w:rPr>
              <w:t>USD 101,900.00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Distribución por etapa: Etapa 1 = USD 65,500 · Etapa 2 = USD 36,400.</w:t>
      </w:r>
    </w:p>
    <w:p>
      <w:pPr>
        <w:pStyle w:val="Heading2"/>
      </w:pPr>
      <w:r>
        <w:t>16.2 Presupuesto realista consolidado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Concepto</w:t>
            </w:r>
          </w:p>
        </w:tc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Monto (USD)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Base RR.HH. (10 recursos)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101,900.00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Cargas de planilla (≈ 60.72%)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61,873.68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Equipamiento (laptops)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19,800.00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Subtotal ampliado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183,573.68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Contingencia (12%)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22,028.84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Reserva de gestión (5%)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9,178.68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Total proyecto realista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214,781.20</w:t>
            </w:r>
          </w:p>
        </w:tc>
      </w:tr>
    </w:tbl>
    <w:p/>
    <w:p>
      <w:pPr>
        <w:pStyle w:val="Heading2"/>
      </w:pPr>
      <w:r>
        <w:t>16.3 Distribución mensual de la base de recursos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Mes</w:t>
            </w:r>
          </w:p>
        </w:tc>
        <w:tc>
          <w:tcPr>
            <w:tcW w:type="dxa" w:w="4968"/>
            <w:vAlign w:val="center"/>
            <w:shd w:fill="DCE6F1"/>
          </w:tcPr>
          <w:p>
            <w:r>
              <w:rPr>
                <w:rFonts w:ascii="Calibri" w:hAnsi="Calibri"/>
                <w:b/>
                <w:sz w:val="19"/>
              </w:rPr>
              <w:t>Monto (USD)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Junio (6 recursos activos)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10,900.00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Julio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18,200.00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Agosto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18,200.00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Septiembre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18,200.00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Octubre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18,200.00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Noviembre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Calibri" w:hAnsi="Calibri"/>
                <w:sz w:val="19"/>
              </w:rPr>
              <w:t>18,200.00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1"/>
        </w:rPr>
        <w:t>Las cifras son referenciales y editables; sirven como marco ejecutivo de magnitud y secuencia de inversión. No reemplazan la propuesta económica contractual ni la estructura final de pagos.</w:t>
      </w:r>
    </w:p>
    <w:p>
      <w:pPr>
        <w:pStyle w:val="Heading1"/>
      </w:pPr>
      <w:r>
        <w:t>17. Propiedad Intelectual y Confidencialidad</w:t>
      </w:r>
    </w:p>
    <w:p>
      <w:pPr>
        <w:spacing w:after="120"/>
      </w:pPr>
      <w:r>
        <w:rPr>
          <w:rFonts w:ascii="Calibri" w:hAnsi="Calibri"/>
          <w:sz w:val="21"/>
        </w:rPr>
        <w:t>El código fuente y los entregables específicos desarrollados para el proyecto quedan bajo control del cliente conforme al acuerdo final. Todas las llaves maestras y credenciales de los servidores en Lima se transfieren formalmente a la Gerencia de TI. Toda información operativa, técnica y documental compartida se trata como confidencial.</w:t>
      </w:r>
    </w:p>
    <w:p>
      <w:pPr>
        <w:pStyle w:val="Heading1"/>
      </w:pPr>
      <w:r>
        <w:t>18. Recomendación Ejecutiva</w:t>
      </w:r>
    </w:p>
    <w:p>
      <w:pPr>
        <w:spacing w:after="120"/>
      </w:pPr>
      <w:r>
        <w:rPr>
          <w:rFonts w:ascii="Calibri" w:hAnsi="Calibri"/>
          <w:sz w:val="21"/>
        </w:rPr>
        <w:t>Se recomienda aprobar este SOW maestro v3.0 como base para habilitar el inicio formal del proyecto. El documento ya ordena alcance, equipo real, cronograma de 13 sprints, seis puertas de control y la economía recalculada con trazabilidad. La recomendación responde a tres prioridades de alta dirección: control operacional, continuidad del negocio y trazabilidad ejecutiva. La arquitectura soberana y la entrega por gates reducen el riesgo de una transformación desordenada y permiten gobernar el avance por resultados verificables.</w:t>
      </w:r>
    </w:p>
    <w:p>
      <w:pPr>
        <w:pStyle w:val="Heading1"/>
      </w:pPr>
      <w:r>
        <w:t>19. Firmas de Aprobación</w:t>
      </w:r>
    </w:p>
    <w:p>
      <w:pPr>
        <w:spacing w:after="120"/>
      </w:pPr>
      <w:r>
        <w:rPr>
          <w:rFonts w:ascii="Calibri" w:hAnsi="Calibri"/>
          <w:sz w:val="21"/>
        </w:rPr>
        <w:t>Revisado por Gerencia TI</w:t>
      </w:r>
    </w:p>
    <w:p>
      <w:pPr>
        <w:spacing w:after="120"/>
      </w:pPr>
      <w:r>
        <w:rPr>
          <w:rFonts w:ascii="Calibri" w:hAnsi="Calibri"/>
          <w:sz w:val="21"/>
        </w:rPr>
        <w:t>Nombre:   Cargo:   Fecha:</w:t>
      </w:r>
    </w:p>
    <w:p>
      <w:pPr>
        <w:spacing w:after="120"/>
      </w:pPr>
      <w:r>
        <w:rPr>
          <w:rFonts w:ascii="Calibri" w:hAnsi="Calibri"/>
          <w:sz w:val="21"/>
        </w:rPr>
        <w:t>Aprobado por Gerencia General</w:t>
      </w:r>
    </w:p>
    <w:p>
      <w:pPr>
        <w:spacing w:after="120"/>
      </w:pPr>
      <w:r>
        <w:rPr>
          <w:rFonts w:ascii="Calibri" w:hAnsi="Calibri"/>
          <w:sz w:val="21"/>
        </w:rPr>
        <w:t>Nombre:   Cargo:   Fecha:</w:t>
      </w:r>
    </w:p>
    <w:p>
      <w:pPr>
        <w:spacing w:after="120"/>
      </w:pPr>
      <w:r>
        <w:rPr>
          <w:rFonts w:ascii="Calibri" w:hAnsi="Calibri"/>
          <w:sz w:val="21"/>
        </w:rPr>
        <w:t>Preparado por Arquitectura TI Senior LATAM / PMO</w:t>
      </w:r>
    </w:p>
    <w:p>
      <w:pPr>
        <w:spacing w:after="120"/>
      </w:pPr>
      <w:r>
        <w:rPr>
          <w:rFonts w:ascii="Calibri" w:hAnsi="Calibri"/>
          <w:sz w:val="21"/>
        </w:rPr>
        <w:t>Nombre:   Cargo: Arquitecto TI Senior / Project Manager  Fecha: 17-06-2026</w:t>
      </w:r>
    </w:p>
    <w:p>
      <w:pPr>
        <w:pStyle w:val="Heading1"/>
      </w:pPr>
      <w:r>
        <w:t>Anexos Recomendados</w:t>
      </w:r>
    </w:p>
    <w:p>
      <w:pPr>
        <w:pStyle w:val="ListNumber"/>
      </w:pPr>
      <w:r>
        <w:rPr>
          <w:rFonts w:ascii="Calibri" w:hAnsi="Calibri"/>
          <w:sz w:val="21"/>
        </w:rPr>
        <w:t>Plan detallado de tareas por sprint (Plan_Detallado_Etapas_1_y_2_v36.xlsx).</w:t>
      </w:r>
    </w:p>
    <w:p>
      <w:pPr>
        <w:pStyle w:val="ListNumber"/>
      </w:pPr>
      <w:r>
        <w:rPr>
          <w:rFonts w:ascii="Calibri" w:hAnsi="Calibri"/>
          <w:sz w:val="21"/>
        </w:rPr>
        <w:t>Plan gerencial de sprints, gates y carga de recursos (Plan_Proyecto_Gerencia_Etapas_Sprints_v36.xlsx).</w:t>
      </w:r>
    </w:p>
    <w:p>
      <w:pPr>
        <w:pStyle w:val="ListNumber"/>
      </w:pPr>
      <w:r>
        <w:rPr>
          <w:rFonts w:ascii="Calibri" w:hAnsi="Calibri"/>
          <w:sz w:val="21"/>
        </w:rPr>
        <w:t>Documento de distribución y obligatoriedad de recursos (v36).</w:t>
      </w:r>
    </w:p>
    <w:p>
      <w:pPr>
        <w:pStyle w:val="ListNumber"/>
      </w:pPr>
      <w:r>
        <w:rPr>
          <w:rFonts w:ascii="Calibri" w:hAnsi="Calibri"/>
          <w:sz w:val="21"/>
        </w:rPr>
        <w:t>Matriz de costos referencial recalculada (10 recursos).</w:t>
      </w:r>
    </w:p>
    <w:p>
      <w:pPr>
        <w:spacing w:after="120"/>
      </w:pPr>
      <w:r>
        <w:rPr>
          <w:rFonts w:ascii="Calibri" w:hAnsi="Calibri"/>
          <w:sz w:val="21"/>
        </w:rPr>
        <w:t>Nota de control: este SOW consolida la narrativa ejecutiva y contractual del proyecto AURIXA sincronizada 1:1 con el plan de tareas v36, sus 13 sprints, sus 6 releases con gates PM y su equipo real de 10 recursos.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