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rFonts w:ascii="Calibri" w:cs="Calibri" w:eastAsia="Calibri" w:hAnsi="Calibri"/>
          <w:b/>
          <w:bCs/>
          <w:color w:val="B5651D"/>
          <w:spacing w:val="20"/>
          <w:sz w:val="24"/>
          <w:szCs w:val="24"/>
        </w:rPr>
        <w:t xml:space="preserve">BEEMETRY / AURIXA</w:t>
      </w:r>
    </w:p>
    <w:p>
      <w:pPr>
        <w:spacing w:before="260"/>
        <w:jc w:val="center"/>
      </w:pPr>
      <w:r>
        <w:rPr>
          <w:rFonts w:ascii="Calibri" w:cs="Calibri" w:eastAsia="Calibri" w:hAnsi="Calibri"/>
          <w:b/>
          <w:bCs/>
          <w:color w:val="17222B"/>
          <w:sz w:val="46"/>
          <w:szCs w:val="46"/>
        </w:rPr>
        <w:t xml:space="preserve">Informe de Avance de Ejecución</w:t>
      </w:r>
    </w:p>
    <w:p>
      <w:pPr>
        <w:spacing w:after="400" w:before="120"/>
        <w:jc w:val="center"/>
      </w:pPr>
      <w:r>
        <w:rPr>
          <w:rFonts w:ascii="Calibri" w:cs="Calibri" w:eastAsia="Calibri" w:hAnsi="Calibri"/>
          <w:i/>
          <w:iCs/>
          <w:color w:val="4A5A63"/>
          <w:sz w:val="24"/>
          <w:szCs w:val="24"/>
        </w:rPr>
        <w:t xml:space="preserve">Plataforma Integral de Telemetría, Trazabilidad y Automatización Minera con IA</w:t>
      </w:r>
    </w:p>
    <w:p>
      <w:pPr>
        <w:pBdr>
          <w:bottom w:val="single" w:color="B5651D" w:sz="8" w:space="8"/>
        </w:pBdr>
        <w:spacing w:after="400"/>
      </w:pPr>
      <w:r>
        <w:t xml:space="preserve"/>
      </w:r>
    </w:p>
    <w:p>
      <w:pPr>
        <w:spacing w:after="90"/>
      </w:pPr>
      <w:r>
        <w:rPr>
          <w:b/>
          <w:bCs/>
          <w:sz w:val="21"/>
          <w:szCs w:val="21"/>
        </w:rPr>
        <w:t xml:space="preserve">Tipo de documento:  </w:t>
      </w:r>
      <w:r>
        <w:rPr>
          <w:sz w:val="21"/>
          <w:szCs w:val="21"/>
        </w:rPr>
        <w:t xml:space="preserve">Informe de avance de ejecución — audita el cronograma contractual v36.1 contra el código real; no lo reemplaza ni lo modifica.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Fecha de corte:  </w:t>
      </w:r>
      <w:r>
        <w:rPr>
          <w:sz w:val="21"/>
          <w:szCs w:val="21"/>
        </w:rPr>
        <w:t xml:space="preserve">17 de julio de 2026 (Sprint S4, Release R2)</w:t>
      </w:r>
    </w:p>
    <w:p>
      <w:pPr>
        <w:spacing w:after="90"/>
      </w:pPr>
      <w:r>
        <w:rPr>
          <w:b/>
          <w:bCs/>
          <w:sz w:val="21"/>
          <w:szCs w:val="21"/>
        </w:rPr>
        <w:t xml:space="preserve">Calendario vigente:  </w:t>
      </w:r>
      <w:r>
        <w:rPr>
          <w:sz w:val="21"/>
          <w:szCs w:val="21"/>
        </w:rPr>
        <w:t xml:space="preserve">1 jun – 30 nov 2026 · 13 sprints · 6 gates · 2 etapas (sin cambios)</w:t>
      </w:r>
    </w:p>
    <w:p>
      <w:pPr>
        <w:spacing w:after="90"/>
      </w:pPr>
      <w:r>
        <w:rPr>
          <w:b/>
          <w:bCs/>
          <w:sz w:val="21"/>
          <w:szCs w:val="21"/>
        </w:rPr>
        <w:t xml:space="preserve">Preparado por:  </w:t>
      </w:r>
      <w:r>
        <w:rPr>
          <w:sz w:val="21"/>
          <w:szCs w:val="21"/>
        </w:rPr>
        <w:t xml:space="preserve">Arquitectura TI / PMO (ARQ)</w:t>
      </w:r>
    </w:p>
    <w:p>
      <w:pPr>
        <w:spacing w:after="90"/>
      </w:pPr>
      <w:r>
        <w:rPr>
          <w:b/>
          <w:bCs/>
          <w:sz w:val="21"/>
          <w:szCs w:val="21"/>
        </w:rPr>
        <w:t xml:space="preserve">Referencia:  </w:t>
      </w:r>
      <w:r>
        <w:rPr>
          <w:sz w:val="21"/>
          <w:szCs w:val="21"/>
        </w:rPr>
        <w:t xml:space="preserve">actualiza Resumen_Sprints_Entregables_Gerencia_TI_v36.md (corte 23-jun-2026) con el estado real verificado hoy</w:t>
      </w:r>
    </w:p>
    <w:p>
      <w:r>
        <w:br w:type="page"/>
      </w:r>
    </w:p>
    <w:p>
      <w:pPr>
        <w:sectPr>
          <w:pgSz w:w="11906" w:h="16838" w:orient="portrait"/>
          <w:pgMar w:top="1440" w:right="1300" w:bottom="1440" w:left="13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7222B"/>
          <w:sz w:val="30"/>
          <w:szCs w:val="30"/>
        </w:rPr>
        <w:t xml:space="preserve">1. Lectura ejecutiva en una página</w:t>
      </w:r>
    </w:p>
    <w:tbl>
      <w:tblPr>
        <w:tblW w:type="dxa" w:w="9400"/>
        <w:tblBorders>
          <w:top w:val="single" w:color="C9D2D0" w:sz="4"/>
          <w:left w:val="single" w:color="C9D2D0" w:sz="4"/>
          <w:bottom w:val="single" w:color="C9D2D0" w:sz="4"/>
          <w:right w:val="single" w:color="C9D2D0" w:sz="4"/>
          <w:insideH w:val="single" w:color="C9D2D0" w:sz="2"/>
          <w:insideV w:val="single" w:color="C9D2D0" w:sz="2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34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 al 23-jun (v36.1)</w:t>
            </w:r>
          </w:p>
        </w:tc>
        <w:tc>
          <w:tcPr>
            <w:tcW w:type="dxa" w:w="34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 al 17-jul (este informe)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Decisiones arquitectónicas (ADR)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46 registradas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54 registradas (+8 esta semana)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Gate más reciente cerrado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R1 (30-jun, aprobado)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R1 sigue cerrado — sin cambios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Gate en curso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— (aún no llegaba)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R2 (31-jul) — ~70% de su alcance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Brechas nuevas confirmadas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Sync AWS ausente; DR en 0% (14/14 tareas)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Corrección de documentación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ADR-010/013 corregidos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22B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7222B"/>
          <w:sz w:val="21"/>
          <w:szCs w:val="21"/>
        </w:rPr>
        <w:t xml:space="preserve">Mensaje central: </w:t>
      </w:r>
      <w:r>
        <w:rPr>
          <w:rFonts w:ascii="Calibri" w:cs="Calibri" w:eastAsia="Calibri" w:hAnsi="Calibri"/>
          <w:color w:val="17222B"/>
          <w:sz w:val="21"/>
          <w:szCs w:val="21"/>
        </w:rPr>
        <w:t xml:space="preserve">el proyecto avanza muy por delante del calendario en el módulo de Informes (Report Studio) — alcance completo de R3 cerrado casi 6 semanas antes — pero dos ítems de alcance transversal (integración AWS y Disaster Recovery) están en 0% real y no bloquean R2, aunque deben entrar a seguimiento activo antes de R4/R5.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7222B"/>
          <w:sz w:val="30"/>
          <w:szCs w:val="30"/>
        </w:rPr>
        <w:t xml:space="preserve">2. Estado real por release — verificado contra código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22B"/>
          <w:sz w:val="21"/>
          <w:szCs w:val="21"/>
        </w:rPr>
        <w:t xml:space="preserve">Metodología: se listó el alcance específico de cada release según el resumen de sprints/entregables aprobado, y se verificó cada ítem contra el repositorio real (código, specs, scripts, configuración) — no contra percepción del equipo.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5651D"/>
          <w:sz w:val="24"/>
          <w:szCs w:val="24"/>
        </w:rPr>
        <w:t xml:space="preserve">R1 — Arquitectura y diseño de datos · Gate 30-jun-2026 · 100% ✓ (cerrado)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22B"/>
          <w:sz w:val="21"/>
          <w:szCs w:val="21"/>
        </w:rPr>
        <w:t xml:space="preserve">Esquema PostgreSQL, CI/CD, shell del editor y matriz RBAC inicial entregados. Superado: RBAC llegó a 7 roles unificados.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5651D"/>
          <w:sz w:val="24"/>
          <w:szCs w:val="24"/>
        </w:rPr>
        <w:t xml:space="preserve">R2 — Motor operacional + seguridad base · Gate 31-jul-2026 · ~70% (Sprint S4, en curso)</w:t>
      </w:r>
    </w:p>
    <w:tbl>
      <w:tblPr>
        <w:tblW w:type="dxa" w:w="7400"/>
        <w:tblBorders>
          <w:top w:val="single" w:color="C9D2D0" w:sz="4"/>
          <w:left w:val="single" w:color="C9D2D0" w:sz="4"/>
          <w:bottom w:val="single" w:color="C9D2D0" w:sz="4"/>
          <w:right w:val="single" w:color="C9D2D0" w:sz="4"/>
          <w:insideH w:val="single" w:color="C9D2D0" w:sz="2"/>
          <w:insideV w:val="single" w:color="C9D2D0" w:sz="2"/>
        </w:tblBorders>
      </w:tblPr>
      <w:tblGrid>
        <w:gridCol w:w="5600"/>
        <w:gridCol w:w="1800"/>
      </w:tblGrid>
      <w:tr>
        <w:trPr>
          <w:tblHeader/>
        </w:trPr>
        <w:tc>
          <w:tcPr>
            <w:tcW w:type="dxa" w:w="56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Ítem de alcance</w:t>
            </w:r>
          </w:p>
        </w:tc>
        <w:tc>
          <w:tcPr>
            <w:tcW w:type="dxa" w:w="18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Núcleo C++ operativo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APIs REST + canal en vivo de sensores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Login con usuarios y perfiles (RBAC)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 (superado: 7 roles)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Auto-guardado del editor en servidor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Telemetría base validada (/api/metrics)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 confirmado en código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Sincronización inicial con AWS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⚠ sin código encontrado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Plan maestro de pruebas QA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⚠ no iniciado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5651D"/>
          <w:sz w:val="24"/>
          <w:szCs w:val="24"/>
        </w:rPr>
        <w:t xml:space="preserve">R3 — Editor + GIS + sensores + IA base · Gate 31-ago-2026 · ~85%</w:t>
      </w:r>
    </w:p>
    <w:tbl>
      <w:tblPr>
        <w:tblW w:type="dxa" w:w="7400"/>
        <w:tblBorders>
          <w:top w:val="single" w:color="C9D2D0" w:sz="4"/>
          <w:left w:val="single" w:color="C9D2D0" w:sz="4"/>
          <w:bottom w:val="single" w:color="C9D2D0" w:sz="4"/>
          <w:right w:val="single" w:color="C9D2D0" w:sz="4"/>
          <w:insideH w:val="single" w:color="C9D2D0" w:sz="2"/>
          <w:insideV w:val="single" w:color="C9D2D0" w:sz="2"/>
        </w:tblBorders>
      </w:tblPr>
      <w:tblGrid>
        <w:gridCol w:w="5600"/>
        <w:gridCol w:w="1800"/>
      </w:tblGrid>
      <w:tr>
        <w:trPr>
          <w:tblHeader/>
        </w:trPr>
        <w:tc>
          <w:tcPr>
            <w:tcW w:type="dxa" w:w="56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Ítem de alcance</w:t>
            </w:r>
          </w:p>
        </w:tc>
        <w:tc>
          <w:tcPr>
            <w:tcW w:type="dxa" w:w="18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Editor ReportStudio (texto/tablas/imágenes)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 muy superado (24/24 ADR)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Mapa interactivo con puntos y zonas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Dictado por voz minero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IA local (Ollama + LanguageTool)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Demo formal de 10.000 sensores simulados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⚠ construido, sin demo registrada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ETL programado desde AWS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⚠ mismo gap que R2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5651D"/>
          <w:sz w:val="24"/>
          <w:szCs w:val="24"/>
        </w:rPr>
        <w:t xml:space="preserve">R4 — Integración e2e (fin Etapa 1) · Gate 30-sep-2026 · ~65%</w:t>
      </w:r>
    </w:p>
    <w:tbl>
      <w:tblPr>
        <w:tblW w:type="dxa" w:w="7400"/>
        <w:tblBorders>
          <w:top w:val="single" w:color="C9D2D0" w:sz="4"/>
          <w:left w:val="single" w:color="C9D2D0" w:sz="4"/>
          <w:bottom w:val="single" w:color="C9D2D0" w:sz="4"/>
          <w:right w:val="single" w:color="C9D2D0" w:sz="4"/>
          <w:insideH w:val="single" w:color="C9D2D0" w:sz="2"/>
          <w:insideV w:val="single" w:color="C9D2D0" w:sz="2"/>
        </w:tblBorders>
      </w:tblPr>
      <w:tblGrid>
        <w:gridCol w:w="5600"/>
        <w:gridCol w:w="1800"/>
      </w:tblGrid>
      <w:tr>
        <w:trPr>
          <w:tblHeader/>
        </w:trPr>
        <w:tc>
          <w:tcPr>
            <w:tcW w:type="dxa" w:w="56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Ítem de alcance</w:t>
            </w:r>
          </w:p>
        </w:tc>
        <w:tc>
          <w:tcPr>
            <w:tcW w:type="dxa" w:w="18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Exportar informe a PDF/Word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Panel gerencial con KPIs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Auditoría de accesos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Modo offline con sincronización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Integraciones externas AWS estables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⚠ gap sin resolver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Regresión completa Etapa 1 + acta QA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✕ no iniciada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5651D"/>
          <w:sz w:val="24"/>
          <w:szCs w:val="24"/>
        </w:rPr>
        <w:t xml:space="preserve">R5 — Hardening + DR + optimización · Gate 31-oct-2026 · ~20%</w:t>
      </w:r>
    </w:p>
    <w:tbl>
      <w:tblPr>
        <w:tblW w:type="dxa" w:w="7400"/>
        <w:tblBorders>
          <w:top w:val="single" w:color="C9D2D0" w:sz="4"/>
          <w:left w:val="single" w:color="C9D2D0" w:sz="4"/>
          <w:bottom w:val="single" w:color="C9D2D0" w:sz="4"/>
          <w:right w:val="single" w:color="C9D2D0" w:sz="4"/>
          <w:insideH w:val="single" w:color="C9D2D0" w:sz="2"/>
          <w:insideV w:val="single" w:color="C9D2D0" w:sz="2"/>
        </w:tblBorders>
      </w:tblPr>
      <w:tblGrid>
        <w:gridCol w:w="5600"/>
        <w:gridCol w:w="1800"/>
      </w:tblGrid>
      <w:tr>
        <w:trPr>
          <w:tblHeader/>
        </w:trPr>
        <w:tc>
          <w:tcPr>
            <w:tcW w:type="dxa" w:w="56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Ítem de alcance</w:t>
            </w:r>
          </w:p>
        </w:tc>
        <w:tc>
          <w:tcPr>
            <w:tcW w:type="dxa" w:w="18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Hardening pre-pentest (IDOR/CORS/salt)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✓ preparación, no el S9 completo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Pentest OWASP interno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✕ sin agendar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Simulacro de Disaster Recovery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✕ 14/14 tareas sin iniciar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Backup con destino offsite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✕ remote rclone sin configurar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Pruebas de carga progresivas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✕ sin scripts de load testing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B5651D"/>
          <w:sz w:val="24"/>
          <w:szCs w:val="24"/>
        </w:rPr>
        <w:t xml:space="preserve">R6 — Go-Live producción · Gate 30-nov-2026 · 0% (esperado)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22B"/>
          <w:sz w:val="21"/>
          <w:szCs w:val="21"/>
        </w:rPr>
        <w:t xml:space="preserve">Prueba de estrés 10k real, UAT con operadores, marcha blanca, Go-Live y transferencia: ninguno puede iniciar antes de que cierren R4/R5.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7222B"/>
          <w:sz w:val="30"/>
          <w:szCs w:val="30"/>
        </w:rPr>
        <w:t xml:space="preserve">3. Distribución de las 54 decisiones arquitectónicas (ADR) por release</w:t>
      </w:r>
    </w:p>
    <w:tbl>
      <w:tblPr>
        <w:tblW w:type="dxa" w:w="9300"/>
        <w:tblBorders>
          <w:top w:val="single" w:color="C9D2D0" w:sz="4"/>
          <w:left w:val="single" w:color="C9D2D0" w:sz="4"/>
          <w:bottom w:val="single" w:color="C9D2D0" w:sz="4"/>
          <w:right w:val="single" w:color="C9D2D0" w:sz="4"/>
          <w:insideH w:val="single" w:color="C9D2D0" w:sz="2"/>
          <w:insideV w:val="single" w:color="C9D2D0" w:sz="2"/>
        </w:tblBorders>
      </w:tblPr>
      <w:tblGrid>
        <w:gridCol w:w="1200"/>
        <w:gridCol w:w="1300"/>
        <w:gridCol w:w="3900"/>
        <w:gridCol w:w="2900"/>
      </w:tblGrid>
      <w:tr>
        <w:trPr>
          <w:tblHeader/>
        </w:trPr>
        <w:tc>
          <w:tcPr>
            <w:tcW w:type="dxa" w:w="12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13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ADR (#)</w:t>
            </w:r>
          </w:p>
        </w:tc>
        <w:tc>
          <w:tcPr>
            <w:tcW w:type="dxa" w:w="39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Números</w:t>
            </w:r>
          </w:p>
        </w:tc>
        <w:tc>
          <w:tcPr>
            <w:tcW w:type="dxa" w:w="29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 dominante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R1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000,001,002,004,005,031,033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Fundaciones: rebrand, despliegue, gateway, datos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R2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15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003,006,007,008,023,029,030,032,034,036-038,040-042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Servidor, ingesta, RBAC/JWT, auditoría, réplica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R3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24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010-015,017-021,024,026-028,039,046-053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Report Studio completo + cartografía + IA local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R4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016,022,044,045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Export server-side, offline, export cifrado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R5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009,025,043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Tier frío MinIO, biometría diferida, hardening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R6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0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Sin ADR — Go-Live es procedimiento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Futuro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035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Plataforma enterprise LATAM — roadmap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22B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7222B"/>
          <w:sz w:val="21"/>
          <w:szCs w:val="21"/>
        </w:rPr>
        <w:t xml:space="preserve">Lectura clave: </w:t>
      </w:r>
      <w:r>
        <w:rPr>
          <w:rFonts w:ascii="Calibri" w:cs="Calibri" w:eastAsia="Calibri" w:hAnsi="Calibri"/>
          <w:color w:val="17222B"/>
          <w:sz w:val="21"/>
          <w:szCs w:val="21"/>
        </w:rPr>
        <w:t xml:space="preserve">R3 concentra el 44% de todas las decisiones del proyecto — coincide con el adelanto del módulo de Informes. R5 tiene solo 3 ADR pese a sus brechas: lo que falta ahí no es diseño, es ejecución (correr el pentest, el simulacro DR, la prueba de carga).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7222B"/>
          <w:sz w:val="30"/>
          <w:szCs w:val="30"/>
        </w:rPr>
        <w:t xml:space="preserve">4. Corrección de documentación realizada esta semana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22B"/>
          <w:sz w:val="21"/>
          <w:szCs w:val="21"/>
        </w:rPr>
        <w:t xml:space="preserve">Al redactar los 8 ADR nuevos (046-053) se encontró que ADR-010 y ADR-013 (verificados 2026-07-06) documentaban Tiptap/ProseMirror-JSON para el texto del editor — pero el código real de Report Studio v2 usa un modelo de string plano con estilos por rango, desde antes de esta semana. Era una divergencia entre documentación y código, no un defecto del producto. Se corrigió con un bloque de actualización en ambos ADR (sin borrar el texto original) y se documentó el modelo real vigente en el nuevo ADR-050. No requiere acción de Gerencia — se reporta por transparencia.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7222B"/>
          <w:sz w:val="30"/>
          <w:szCs w:val="30"/>
        </w:rPr>
        <w:t xml:space="preserve">5. Brechas reales que requieren decisión o seguimiento</w:t>
      </w:r>
    </w:p>
    <w:tbl>
      <w:tblPr>
        <w:tblW w:type="dxa" w:w="9300"/>
        <w:tblBorders>
          <w:top w:val="single" w:color="C9D2D0" w:sz="4"/>
          <w:left w:val="single" w:color="C9D2D0" w:sz="4"/>
          <w:bottom w:val="single" w:color="C9D2D0" w:sz="4"/>
          <w:right w:val="single" w:color="C9D2D0" w:sz="4"/>
          <w:insideH w:val="single" w:color="C9D2D0" w:sz="2"/>
          <w:insideV w:val="single" w:color="C9D2D0" w:sz="2"/>
        </w:tblBorders>
      </w:tblPr>
      <w:tblGrid>
        <w:gridCol w:w="420"/>
        <w:gridCol w:w="3200"/>
        <w:gridCol w:w="2600"/>
        <w:gridCol w:w="3080"/>
      </w:tblGrid>
      <w:tr>
        <w:trPr>
          <w:tblHeader/>
        </w:trPr>
        <w:tc>
          <w:tcPr>
            <w:tcW w:type="dxa" w:w="42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Brecha</w:t>
            </w:r>
          </w:p>
        </w:tc>
        <w:tc>
          <w:tcPr>
            <w:tcW w:type="dxa" w:w="26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08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Cuándo se vuelve urgente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Sin código de sincronización/ETL con AWS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Alcance de R2/R3/R4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Antes del gate R4 (30-sep)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Plan de DR en 0% (14/14 tareas)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Alcance de R5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Debe iniciar en S9-S10 (sep-oct)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Pentest OWASP sin agendar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Bloqueante conocido de R5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Cuanto antes, más margen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Backup sin destino offsite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Evidencia de R5 (continuidad)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Configuración operativa simple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Demo de 10k sensores no registrada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Evidencia esperada en R3</w:t>
            </w:r>
          </w:p>
        </w:tc>
        <w:tc>
          <w:tcPr>
            <w:tcW w:type="dxa" w:w="3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Antes del gate R3 (31-ago)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7222B"/>
          <w:sz w:val="30"/>
          <w:szCs w:val="30"/>
        </w:rPr>
        <w:t xml:space="preserve">6. Propuesta en evaluación: release v0.1 anticipado del módulo de Informes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22B"/>
          <w:sz w:val="21"/>
          <w:szCs w:val="21"/>
        </w:rPr>
        <w:t xml:space="preserve">El módulo de Informes (alcance de R3) está al 100% de su propio alcance (24/24 ADR), con casi 6 semanas de anticipación sobre el gate R3. Pendiente de decisión: ¿se libera un v0.1 anticipado solo de ese módulo ahora (condicionado a agendar el pentest), o se espera a que R3/R4 cierren su alcance completo (incluyendo los ítems de AWS aún pendientes)? Ninguna opción afecta costo o plazo total — es secuenciación de entrega de valor, no cambio de alcance.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7222B"/>
          <w:sz w:val="30"/>
          <w:szCs w:val="30"/>
        </w:rPr>
        <w:t xml:space="preserve">7. Pedido a Gerencia de TI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22B"/>
          <w:sz w:val="21"/>
          <w:szCs w:val="21"/>
        </w:rPr>
        <w:t xml:space="preserve">1.  Tomar nota del avance real de R2 (~70%) y R3 (~85%) — ambos en curso, sin acción requerida todavía.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22B"/>
          <w:sz w:val="21"/>
          <w:szCs w:val="21"/>
        </w:rPr>
        <w:t xml:space="preserve">2.  Decidir sobre el release v0.1 anticipado del módulo de Informes (Sección 6).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22B"/>
          <w:sz w:val="21"/>
          <w:szCs w:val="21"/>
        </w:rPr>
        <w:t xml:space="preserve">3.  Priorizar el agendamiento del pentest OWASP — es el único ítem que, si se demora, corre la fecha de R5 en la misma medida.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22B"/>
          <w:sz w:val="21"/>
          <w:szCs w:val="21"/>
        </w:rPr>
        <w:t xml:space="preserve">4.  Tomar conocimiento de que el plan de DR (R5) y la integración AWS (R2-R4) están en 0% — no requieren decisión hoy, pero sin inicio próximo ponen en riesgo sus gates.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22B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B5651D"/>
          <w:sz w:val="21"/>
          <w:szCs w:val="21"/>
        </w:rPr>
        <w:t xml:space="preserve">Recomendación de Arquitectura (ARQ): </w:t>
      </w:r>
      <w:r>
        <w:rPr>
          <w:rFonts w:ascii="Calibri" w:cs="Calibri" w:eastAsia="Calibri" w:hAnsi="Calibri"/>
          <w:color w:val="17222B"/>
          <w:sz w:val="21"/>
          <w:szCs w:val="21"/>
        </w:rPr>
        <w:t xml:space="preserve">el proyecto no tiene retrasos que requieran intervención de Gerencia hoy. Las brechas de AWS y DR deben pasar a seguimiento activo de sprint para no convertirse en sorpresas en R4/R5.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7222B"/>
          <w:sz w:val="30"/>
          <w:szCs w:val="30"/>
        </w:rPr>
        <w:t xml:space="preserve">Anexo — Fuentes de este informe</w:t>
      </w:r>
    </w:p>
    <w:tbl>
      <w:tblPr>
        <w:tblW w:type="dxa" w:w="8300"/>
        <w:tblBorders>
          <w:top w:val="single" w:color="C9D2D0" w:sz="4"/>
          <w:left w:val="single" w:color="C9D2D0" w:sz="4"/>
          <w:bottom w:val="single" w:color="C9D2D0" w:sz="4"/>
          <w:right w:val="single" w:color="C9D2D0" w:sz="4"/>
          <w:insideH w:val="single" w:color="C9D2D0" w:sz="2"/>
          <w:insideV w:val="single" w:color="C9D2D0" w:sz="2"/>
        </w:tblBorders>
      </w:tblPr>
      <w:tblGrid>
        <w:gridCol w:w="3200"/>
        <w:gridCol w:w="5100"/>
      </w:tblGrid>
      <w:tr>
        <w:trPr>
          <w:tblHeader/>
        </w:trPr>
        <w:tc>
          <w:tcPr>
            <w:tcW w:type="dxa" w:w="32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5100"/>
            <w:shd w:fill="2231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docs/decisions/README.md (54 ADR)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Estado de decisiones arquitectónicas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Resumen_Sprints_Entregables_Gerencia_TI_v36.md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Alcance contractual por sprint/release (línea base)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specs/015-dr-respaldo-continuidad/tasks.md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Estado real del plan de DR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RUNBOOK.md, GAP_ANALYSIS_2026-07-04.md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Checklist de seguridad y hardening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Código fuente (backend/, frontend/, scripts/)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7222B"/>
                <w:sz w:val="19"/>
                <w:szCs w:val="19"/>
              </w:rPr>
              <w:t xml:space="preserve">Verificación directa de cada ítem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3"/>
        <w:sz w:val="15"/>
        <w:szCs w:val="15"/>
      </w:rPr>
      <w:t xml:space="preserve">Página </w:t>
    </w:r>
    <w:r>
      <w:rPr>
        <w:color w:val="4A5A6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4A5A63"/>
        <w:sz w:val="15"/>
        <w:szCs w:val="15"/>
      </w:rPr>
      <w:t xml:space="preserve"> de </w:t>
    </w:r>
    <w:r>
      <w:rPr>
        <w:color w:val="4A5A6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3"/>
        <w:sz w:val="15"/>
        <w:szCs w:val="15"/>
      </w:rPr>
      <w:t xml:space="preserve">Informe de Avance — AURIXA/Beemetry · 17-jul-2026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2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2026-07-17T19:14:05.495Z</dcterms:created>
  <dcterms:modified xsi:type="dcterms:W3CDTF">2026-07-17T19:14:05.495Z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