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E3D57"/>
          <w:sz w:val="44"/>
        </w:rPr>
        <w:t>ARQUITECTURA FINAL RECOMENDADA - AURIXA EN LIMA</w:t>
      </w:r>
    </w:p>
    <w:p>
      <w:pPr>
        <w:jc w:val="center"/>
      </w:pPr>
      <w:r>
        <w:rPr>
          <w:b/>
          <w:color w:val="0C6866"/>
          <w:sz w:val="26"/>
        </w:rPr>
        <w:t>1. Recomendacion ejecutiva</w:t>
      </w:r>
    </w:p>
    <w:p>
      <w:pPr>
        <w:spacing w:after="280"/>
      </w:pPr>
    </w:p>
    <w:p>
      <w:pPr>
        <w:jc w:val="center"/>
      </w:pPr>
      <w:r>
        <w:rPr>
          <w:color w:val="222222"/>
          <w:sz w:val="20"/>
        </w:rPr>
        <w:t>Documento generado para presentacion ejecutiva</w:t>
        <w:br/>
        <w:t>Fuente: markdown fuente</w:t>
      </w:r>
    </w:p>
    <w:p/>
    <w:p/>
    <w:p>
      <w:pPr>
        <w:sectPr>
          <w:footerReference w:type="default" r:id="rId9"/>
          <w:pgSz w:w="12240" w:h="15840"/>
          <w:pgMar w:top="1080" w:right="1152" w:bottom="1080" w:left="1152" w:header="720" w:footer="720" w:gutter="0"/>
          <w:cols w:space="720"/>
          <w:docGrid w:linePitch="360"/>
        </w:sectPr>
      </w:pPr>
    </w:p>
    <w:p>
      <w:pPr>
        <w:pStyle w:val="Title"/>
      </w:pPr>
      <w:r>
        <w:t>ARQUITECTURA FINAL RECOMENDADA - AURIXA EN LIMA</w:t>
      </w:r>
    </w:p>
    <w:p>
      <w:pPr>
        <w:pStyle w:val="Heading1"/>
      </w:pPr>
      <w:r>
        <w:t>1. Recomendacion ejecutiva</w:t>
      </w:r>
    </w:p>
    <w:p>
      <w:pPr>
        <w:spacing w:after="120"/>
      </w:pPr>
      <w:r>
        <w:rPr>
          <w:rFonts w:ascii="Calibri" w:hAnsi="Calibri"/>
          <w:sz w:val="21"/>
        </w:rPr>
        <w:t>La arquitectura final recomendada para AURIXA es un esquema primario-secundario en Lima, con virtualizacion dedicada enterprise, replicacion continua, VPN site-to-site, backups externos y failover controlado, evitando depender de un solo VPS o de un unico punto de falla.</w:t>
      </w:r>
    </w:p>
    <w:p>
      <w:pPr>
        <w:spacing w:after="120"/>
      </w:pPr>
      <w:r>
        <w:rPr>
          <w:rFonts w:ascii="Calibri" w:hAnsi="Calibri"/>
          <w:sz w:val="21"/>
        </w:rPr>
        <w:t>La combinacion recomendada es:</w:t>
      </w:r>
    </w:p>
    <w:p>
      <w:pPr>
        <w:pStyle w:val="ListNumber"/>
      </w:pPr>
      <w:r>
        <w:rPr>
          <w:rFonts w:ascii="Calibri" w:hAnsi="Calibri"/>
          <w:sz w:val="21"/>
        </w:rPr>
        <w:t>Sitio primario: Cirion LIM1</w:t>
      </w:r>
    </w:p>
    <w:p>
      <w:pPr>
        <w:pStyle w:val="ListNumber"/>
      </w:pPr>
      <w:r>
        <w:rPr>
          <w:rFonts w:ascii="Calibri" w:hAnsi="Calibri"/>
          <w:sz w:val="21"/>
        </w:rPr>
        <w:t>Sitio secundario / DR: GTD Lurin</w:t>
      </w:r>
    </w:p>
    <w:p>
      <w:pPr>
        <w:spacing w:after="120"/>
      </w:pPr>
      <w:r>
        <w:rPr>
          <w:rFonts w:ascii="Calibri" w:hAnsi="Calibri"/>
          <w:sz w:val="21"/>
        </w:rPr>
        <w:t>Esta recomendacion responde mejor al objetivo de TIME TELEMETRY: operar una plataforma nacional de telemetria minera 24x7 con mayor control local, continuidad, baja latencia nacional y soporte a conectividad dificil en Peru.</w:t>
      </w:r>
    </w:p>
    <w:p>
      <w:pPr>
        <w:pStyle w:val="Heading1"/>
      </w:pPr>
      <w:r>
        <w:t>2. Principios de diseno</w:t>
      </w:r>
    </w:p>
    <w:p>
      <w:pPr>
        <w:pStyle w:val="ListNumber"/>
      </w:pPr>
      <w:r>
        <w:rPr>
          <w:rFonts w:ascii="Calibri" w:hAnsi="Calibri"/>
          <w:sz w:val="21"/>
        </w:rPr>
        <w:t>Alta disponibilidad real, no solo respaldo manual.</w:t>
      </w:r>
    </w:p>
    <w:p>
      <w:pPr>
        <w:pStyle w:val="ListNumber"/>
      </w:pPr>
      <w:r>
        <w:rPr>
          <w:rFonts w:ascii="Calibri" w:hAnsi="Calibri"/>
          <w:sz w:val="21"/>
        </w:rPr>
        <w:t>Separacion fisica razonable entre primario y secundario.</w:t>
      </w:r>
    </w:p>
    <w:p>
      <w:pPr>
        <w:pStyle w:val="ListNumber"/>
      </w:pPr>
      <w:r>
        <w:rPr>
          <w:rFonts w:ascii="Calibri" w:hAnsi="Calibri"/>
          <w:sz w:val="21"/>
        </w:rPr>
        <w:t>Control local en Lima Metropolitana.</w:t>
      </w:r>
    </w:p>
    <w:p>
      <w:pPr>
        <w:pStyle w:val="ListNumber"/>
      </w:pPr>
      <w:r>
        <w:rPr>
          <w:rFonts w:ascii="Calibri" w:hAnsi="Calibri"/>
          <w:sz w:val="21"/>
        </w:rPr>
        <w:t>Baja latencia para operacion nacional.</w:t>
      </w:r>
    </w:p>
    <w:p>
      <w:pPr>
        <w:pStyle w:val="ListNumber"/>
      </w:pPr>
      <w:r>
        <w:rPr>
          <w:rFonts w:ascii="Calibri" w:hAnsi="Calibri"/>
          <w:sz w:val="21"/>
        </w:rPr>
        <w:t>Seguridad por capas.</w:t>
      </w:r>
    </w:p>
    <w:p>
      <w:pPr>
        <w:pStyle w:val="ListNumber"/>
      </w:pPr>
      <w:r>
        <w:rPr>
          <w:rFonts w:ascii="Calibri" w:hAnsi="Calibri"/>
          <w:sz w:val="21"/>
        </w:rPr>
        <w:t>Recuperacion rapida ante falla mayor.</w:t>
      </w:r>
    </w:p>
    <w:p>
      <w:pPr>
        <w:pStyle w:val="ListNumber"/>
      </w:pPr>
      <w:r>
        <w:rPr>
          <w:rFonts w:ascii="Calibri" w:hAnsi="Calibri"/>
          <w:sz w:val="21"/>
        </w:rPr>
        <w:t>Observabilidad y monitoreo 24x7.</w:t>
      </w:r>
    </w:p>
    <w:p>
      <w:pPr>
        <w:pStyle w:val="Heading1"/>
      </w:pPr>
      <w:r>
        <w:t>3. Topologia recomendada</w:t>
      </w:r>
    </w:p>
    <w:p>
      <w:pPr>
        <w:pStyle w:val="Heading2"/>
      </w:pPr>
      <w:r>
        <w:t>Sitio primario</w:t>
      </w:r>
    </w:p>
    <w:p>
      <w:pPr>
        <w:pStyle w:val="ListNumber"/>
      </w:pPr>
      <w:r>
        <w:rPr>
          <w:rFonts w:ascii="Calibri" w:hAnsi="Calibri"/>
          <w:sz w:val="21"/>
        </w:rPr>
        <w:t>Cluster de virtualizacion dedicada en Lima.</w:t>
      </w:r>
    </w:p>
    <w:p>
      <w:pPr>
        <w:pStyle w:val="ListNumber"/>
      </w:pPr>
      <w:r>
        <w:rPr>
          <w:rFonts w:ascii="Calibri" w:hAnsi="Calibri"/>
          <w:sz w:val="21"/>
        </w:rPr>
        <w:t>VM principal de aplicacion.</w:t>
      </w:r>
    </w:p>
    <w:p>
      <w:pPr>
        <w:pStyle w:val="ListNumber"/>
      </w:pPr>
      <w:r>
        <w:rPr>
          <w:rFonts w:ascii="Calibri" w:hAnsi="Calibri"/>
          <w:sz w:val="21"/>
        </w:rPr>
        <w:t>VM de base de datos primaria.</w:t>
      </w:r>
    </w:p>
    <w:p>
      <w:pPr>
        <w:pStyle w:val="ListNumber"/>
      </w:pPr>
      <w:r>
        <w:rPr>
          <w:rFonts w:ascii="Calibri" w:hAnsi="Calibri"/>
          <w:sz w:val="21"/>
        </w:rPr>
        <w:t>VM de integraciones y servicios de mensajeria.</w:t>
      </w:r>
    </w:p>
    <w:p>
      <w:pPr>
        <w:pStyle w:val="ListNumber"/>
      </w:pPr>
      <w:r>
        <w:rPr>
          <w:rFonts w:ascii="Calibri" w:hAnsi="Calibri"/>
          <w:sz w:val="21"/>
        </w:rPr>
        <w:t>Firewall virtual o administrado.</w:t>
      </w:r>
    </w:p>
    <w:p>
      <w:pPr>
        <w:pStyle w:val="ListNumber"/>
      </w:pPr>
      <w:r>
        <w:rPr>
          <w:rFonts w:ascii="Calibri" w:hAnsi="Calibri"/>
          <w:sz w:val="21"/>
        </w:rPr>
        <w:t>Segmentacion por VLAN para aplicacion, datos, gestion y respaldo.</w:t>
      </w:r>
    </w:p>
    <w:p>
      <w:pPr>
        <w:pStyle w:val="Heading2"/>
      </w:pPr>
      <w:r>
        <w:t>Sitio secundario</w:t>
      </w:r>
    </w:p>
    <w:p>
      <w:pPr>
        <w:pStyle w:val="ListNumber"/>
      </w:pPr>
      <w:r>
        <w:rPr>
          <w:rFonts w:ascii="Calibri" w:hAnsi="Calibri"/>
          <w:sz w:val="21"/>
        </w:rPr>
        <w:t>Cluster equivalente o nodo de contingencia en segundo data center.</w:t>
      </w:r>
    </w:p>
    <w:p>
      <w:pPr>
        <w:pStyle w:val="ListNumber"/>
      </w:pPr>
      <w:r>
        <w:rPr>
          <w:rFonts w:ascii="Calibri" w:hAnsi="Calibri"/>
          <w:sz w:val="21"/>
        </w:rPr>
        <w:t>Replica continua de base de datos.</w:t>
      </w:r>
    </w:p>
    <w:p>
      <w:pPr>
        <w:pStyle w:val="ListNumber"/>
      </w:pPr>
      <w:r>
        <w:rPr>
          <w:rFonts w:ascii="Calibri" w:hAnsi="Calibri"/>
          <w:sz w:val="21"/>
        </w:rPr>
        <w:t>Replica de snapshots y respaldos criticos.</w:t>
      </w:r>
    </w:p>
    <w:p>
      <w:pPr>
        <w:pStyle w:val="ListNumber"/>
      </w:pPr>
      <w:r>
        <w:rPr>
          <w:rFonts w:ascii="Calibri" w:hAnsi="Calibri"/>
          <w:sz w:val="21"/>
        </w:rPr>
        <w:t>Capacidad de levantar servicios criticos ante falla del primario.</w:t>
      </w:r>
    </w:p>
    <w:p>
      <w:pPr>
        <w:pStyle w:val="Heading2"/>
      </w:pPr>
      <w:r>
        <w:t>Conectividad</w:t>
      </w:r>
    </w:p>
    <w:p>
      <w:pPr>
        <w:pStyle w:val="ListNumber"/>
      </w:pPr>
      <w:r>
        <w:rPr>
          <w:rFonts w:ascii="Calibri" w:hAnsi="Calibri"/>
          <w:sz w:val="21"/>
        </w:rPr>
        <w:t>VPN site-to-site entre ambos sitios.</w:t>
      </w:r>
    </w:p>
    <w:p>
      <w:pPr>
        <w:pStyle w:val="ListNumber"/>
      </w:pPr>
      <w:r>
        <w:rPr>
          <w:rFonts w:ascii="Calibri" w:hAnsi="Calibri"/>
          <w:sz w:val="21"/>
        </w:rPr>
        <w:t>Acceso seguro para usuarios administrativos.</w:t>
      </w:r>
    </w:p>
    <w:p>
      <w:pPr>
        <w:pStyle w:val="ListNumber"/>
      </w:pPr>
      <w:r>
        <w:rPr>
          <w:rFonts w:ascii="Calibri" w:hAnsi="Calibri"/>
          <w:sz w:val="21"/>
        </w:rPr>
        <w:t>Enlaces redundantes y monitoreados.</w:t>
      </w:r>
    </w:p>
    <w:p>
      <w:pPr>
        <w:pStyle w:val="ListNumber"/>
      </w:pPr>
      <w:r>
        <w:rPr>
          <w:rFonts w:ascii="Calibri" w:hAnsi="Calibri"/>
          <w:sz w:val="21"/>
        </w:rPr>
        <w:t>Priorizacion de trafico critico de telemetria y servicios operativos.</w:t>
      </w:r>
    </w:p>
    <w:p>
      <w:pPr>
        <w:pStyle w:val="Heading1"/>
      </w:pPr>
      <w:r>
        <w:t>4. Dimensionamiento objetivo inicial</w:t>
      </w:r>
    </w:p>
    <w:p>
      <w:pPr>
        <w:pStyle w:val="Heading2"/>
      </w:pPr>
      <w:r>
        <w:t>Nodo principal</w:t>
      </w:r>
    </w:p>
    <w:p>
      <w:pPr>
        <w:pStyle w:val="ListNumber"/>
      </w:pPr>
      <w:r>
        <w:rPr>
          <w:rFonts w:ascii="Calibri" w:hAnsi="Calibri"/>
          <w:sz w:val="21"/>
        </w:rPr>
        <w:t>16 a 24 vCPU dedicados.</w:t>
      </w:r>
    </w:p>
    <w:p>
      <w:pPr>
        <w:pStyle w:val="ListNumber"/>
      </w:pPr>
      <w:r>
        <w:rPr>
          <w:rFonts w:ascii="Calibri" w:hAnsi="Calibri"/>
          <w:sz w:val="21"/>
        </w:rPr>
        <w:t>64 a 128 GB RAM ECC.</w:t>
      </w:r>
    </w:p>
    <w:p>
      <w:pPr>
        <w:pStyle w:val="ListNumber"/>
      </w:pPr>
      <w:r>
        <w:rPr>
          <w:rFonts w:ascii="Calibri" w:hAnsi="Calibri"/>
          <w:sz w:val="21"/>
        </w:rPr>
        <w:t>NVMe enterprise RAID1.</w:t>
      </w:r>
    </w:p>
    <w:p>
      <w:pPr>
        <w:pStyle w:val="ListNumber"/>
      </w:pPr>
      <w:r>
        <w:rPr>
          <w:rFonts w:ascii="Calibri" w:hAnsi="Calibri"/>
          <w:sz w:val="21"/>
        </w:rPr>
        <w:t>IOPS garantizados iguales o mayores a 20,000.</w:t>
      </w:r>
    </w:p>
    <w:p>
      <w:pPr>
        <w:pStyle w:val="ListNumber"/>
      </w:pPr>
      <w:r>
        <w:rPr>
          <w:rFonts w:ascii="Calibri" w:hAnsi="Calibri"/>
          <w:sz w:val="21"/>
        </w:rPr>
        <w:t>Puerto dedicado de 1 Gbps.</w:t>
      </w:r>
    </w:p>
    <w:p>
      <w:pPr>
        <w:pStyle w:val="Heading2"/>
      </w:pPr>
      <w:r>
        <w:t>Nodo secundario</w:t>
      </w:r>
    </w:p>
    <w:p>
      <w:pPr>
        <w:pStyle w:val="ListNumber"/>
      </w:pPr>
      <w:r>
        <w:rPr>
          <w:rFonts w:ascii="Calibri" w:hAnsi="Calibri"/>
          <w:sz w:val="21"/>
        </w:rPr>
        <w:t>Capacidad equivalente o escalable para failover.</w:t>
      </w:r>
    </w:p>
    <w:p>
      <w:pPr>
        <w:pStyle w:val="ListNumber"/>
      </w:pPr>
      <w:r>
        <w:rPr>
          <w:rFonts w:ascii="Calibri" w:hAnsi="Calibri"/>
          <w:sz w:val="21"/>
        </w:rPr>
        <w:t>Almacenamiento replicado.</w:t>
      </w:r>
    </w:p>
    <w:p>
      <w:pPr>
        <w:pStyle w:val="ListNumber"/>
      </w:pPr>
      <w:r>
        <w:rPr>
          <w:rFonts w:ascii="Calibri" w:hAnsi="Calibri"/>
          <w:sz w:val="21"/>
        </w:rPr>
        <w:t>Recursos reservados para contingencia.</w:t>
      </w:r>
    </w:p>
    <w:p>
      <w:pPr>
        <w:pStyle w:val="Heading1"/>
      </w:pPr>
      <w:r>
        <w:t>5. Servicios minimos que deben quedar contratados</w:t>
      </w:r>
    </w:p>
    <w:p>
      <w:pPr>
        <w:pStyle w:val="ListNumber"/>
      </w:pPr>
      <w:r>
        <w:rPr>
          <w:rFonts w:ascii="Calibri" w:hAnsi="Calibri"/>
          <w:sz w:val="21"/>
        </w:rPr>
        <w:t>Monitoreo 24x7.</w:t>
      </w:r>
    </w:p>
    <w:p>
      <w:pPr>
        <w:pStyle w:val="ListNumber"/>
      </w:pPr>
      <w:r>
        <w:rPr>
          <w:rFonts w:ascii="Calibri" w:hAnsi="Calibri"/>
          <w:sz w:val="21"/>
        </w:rPr>
        <w:t>Firewall administrado.</w:t>
      </w:r>
    </w:p>
    <w:p>
      <w:pPr>
        <w:pStyle w:val="ListNumber"/>
      </w:pPr>
      <w:r>
        <w:rPr>
          <w:rFonts w:ascii="Calibri" w:hAnsi="Calibri"/>
          <w:sz w:val="21"/>
        </w:rPr>
        <w:t>Anti-DDoS.</w:t>
      </w:r>
    </w:p>
    <w:p>
      <w:pPr>
        <w:pStyle w:val="ListNumber"/>
      </w:pPr>
      <w:r>
        <w:rPr>
          <w:rFonts w:ascii="Calibri" w:hAnsi="Calibri"/>
          <w:sz w:val="21"/>
        </w:rPr>
        <w:t>Snapshots automaticos.</w:t>
      </w:r>
    </w:p>
    <w:p>
      <w:pPr>
        <w:pStyle w:val="ListNumber"/>
      </w:pPr>
      <w:r>
        <w:rPr>
          <w:rFonts w:ascii="Calibri" w:hAnsi="Calibri"/>
          <w:sz w:val="21"/>
        </w:rPr>
        <w:t>Backups externos.</w:t>
      </w:r>
    </w:p>
    <w:p>
      <w:pPr>
        <w:pStyle w:val="ListNumber"/>
      </w:pPr>
      <w:r>
        <w:rPr>
          <w:rFonts w:ascii="Calibri" w:hAnsi="Calibri"/>
          <w:sz w:val="21"/>
        </w:rPr>
        <w:t>Politica de retencion.</w:t>
      </w:r>
    </w:p>
    <w:p>
      <w:pPr>
        <w:pStyle w:val="ListNumber"/>
      </w:pPr>
      <w:r>
        <w:rPr>
          <w:rFonts w:ascii="Calibri" w:hAnsi="Calibri"/>
          <w:sz w:val="21"/>
        </w:rPr>
        <w:t>Recuperacion granular.</w:t>
      </w:r>
    </w:p>
    <w:p>
      <w:pPr>
        <w:pStyle w:val="ListNumber"/>
      </w:pPr>
      <w:r>
        <w:rPr>
          <w:rFonts w:ascii="Calibri" w:hAnsi="Calibri"/>
          <w:sz w:val="21"/>
        </w:rPr>
        <w:t>NOC 24x7.</w:t>
      </w:r>
    </w:p>
    <w:p>
      <w:pPr>
        <w:pStyle w:val="ListNumber"/>
      </w:pPr>
      <w:r>
        <w:rPr>
          <w:rFonts w:ascii="Calibri" w:hAnsi="Calibri"/>
          <w:sz w:val="21"/>
        </w:rPr>
        <w:t>Soporte critico empresarial.</w:t>
      </w:r>
    </w:p>
    <w:p>
      <w:pPr>
        <w:pStyle w:val="ListNumber"/>
      </w:pPr>
      <w:r>
        <w:rPr>
          <w:rFonts w:ascii="Calibri" w:hAnsi="Calibri"/>
          <w:sz w:val="21"/>
        </w:rPr>
        <w:t>Reporte de SLA mensual.</w:t>
      </w:r>
    </w:p>
    <w:p>
      <w:pPr>
        <w:pStyle w:val="Heading1"/>
      </w:pPr>
      <w:r>
        <w:t>6. Modelo de continuidad recomendado</w:t>
      </w:r>
    </w:p>
    <w:p>
      <w:pPr>
        <w:pStyle w:val="Heading2"/>
      </w:pPr>
      <w:r>
        <w:t>Escenario normal</w:t>
      </w:r>
    </w:p>
    <w:p>
      <w:pPr>
        <w:pStyle w:val="ListNumber"/>
      </w:pPr>
      <w:r>
        <w:rPr>
          <w:rFonts w:ascii="Calibri" w:hAnsi="Calibri"/>
          <w:sz w:val="21"/>
        </w:rPr>
        <w:t>El sitio primario opera toda la carga productiva.</w:t>
      </w:r>
    </w:p>
    <w:p>
      <w:pPr>
        <w:pStyle w:val="ListNumber"/>
      </w:pPr>
      <w:r>
        <w:rPr>
          <w:rFonts w:ascii="Calibri" w:hAnsi="Calibri"/>
          <w:sz w:val="21"/>
        </w:rPr>
        <w:t>El secundario replica continuamente datos y configuracion critica.</w:t>
      </w:r>
    </w:p>
    <w:p>
      <w:pPr>
        <w:pStyle w:val="ListNumber"/>
      </w:pPr>
      <w:r>
        <w:rPr>
          <w:rFonts w:ascii="Calibri" w:hAnsi="Calibri"/>
          <w:sz w:val="21"/>
        </w:rPr>
        <w:t>Los backups se almacenan fuera del host primario.</w:t>
      </w:r>
    </w:p>
    <w:p>
      <w:pPr>
        <w:pStyle w:val="Heading2"/>
      </w:pPr>
      <w:r>
        <w:t>Escenario de falla parcial</w:t>
      </w:r>
    </w:p>
    <w:p>
      <w:pPr>
        <w:pStyle w:val="ListNumber"/>
      </w:pPr>
      <w:r>
        <w:rPr>
          <w:rFonts w:ascii="Calibri" w:hAnsi="Calibri"/>
          <w:sz w:val="21"/>
        </w:rPr>
        <w:t>Si cae una VM o un host del cluster primario, la carga se reubica dentro del mismo sitio.</w:t>
      </w:r>
    </w:p>
    <w:p>
      <w:pPr>
        <w:pStyle w:val="ListNumber"/>
      </w:pPr>
      <w:r>
        <w:rPr>
          <w:rFonts w:ascii="Calibri" w:hAnsi="Calibri"/>
          <w:sz w:val="21"/>
        </w:rPr>
        <w:t>Si se degrada almacenamiento o red, el monitoreo genera alerta critica inmediata.</w:t>
      </w:r>
    </w:p>
    <w:p>
      <w:pPr>
        <w:pStyle w:val="Heading2"/>
      </w:pPr>
      <w:r>
        <w:t>Escenario de falla mayor del sitio primario</w:t>
      </w:r>
    </w:p>
    <w:p>
      <w:pPr>
        <w:pStyle w:val="ListNumber"/>
      </w:pPr>
      <w:r>
        <w:rPr>
          <w:rFonts w:ascii="Calibri" w:hAnsi="Calibri"/>
          <w:sz w:val="21"/>
        </w:rPr>
        <w:t>Se activa el sitio secundario con datos replicados.</w:t>
      </w:r>
    </w:p>
    <w:p>
      <w:pPr>
        <w:pStyle w:val="ListNumber"/>
      </w:pPr>
      <w:r>
        <w:rPr>
          <w:rFonts w:ascii="Calibri" w:hAnsi="Calibri"/>
          <w:sz w:val="21"/>
        </w:rPr>
        <w:t>El objetivo contractual debe ser un RTO menor a 5 minutos si el proveedor realmente lo soporta.</w:t>
      </w:r>
    </w:p>
    <w:p>
      <w:pPr>
        <w:pStyle w:val="ListNumber"/>
      </w:pPr>
      <w:r>
        <w:rPr>
          <w:rFonts w:ascii="Calibri" w:hAnsi="Calibri"/>
          <w:sz w:val="21"/>
        </w:rPr>
        <w:t>Si el proveedor no puede garantizar ese RTO, debe definirse un RTO realista y formalmente comprometido.</w:t>
      </w:r>
    </w:p>
    <w:p>
      <w:pPr>
        <w:pStyle w:val="Heading1"/>
      </w:pPr>
      <w:r>
        <w:t>7. Seguridad recomendada</w:t>
      </w:r>
    </w:p>
    <w:p>
      <w:pPr>
        <w:pStyle w:val="ListNumber"/>
      </w:pPr>
      <w:r>
        <w:rPr>
          <w:rFonts w:ascii="Calibri" w:hAnsi="Calibri"/>
          <w:sz w:val="21"/>
        </w:rPr>
        <w:t>VLAN separadas por rol.</w:t>
      </w:r>
    </w:p>
    <w:p>
      <w:pPr>
        <w:pStyle w:val="ListNumber"/>
      </w:pPr>
      <w:r>
        <w:rPr>
          <w:rFonts w:ascii="Calibri" w:hAnsi="Calibri"/>
          <w:sz w:val="21"/>
        </w:rPr>
        <w:t>VPN site-to-site para integraciones y acceso administrativo.</w:t>
      </w:r>
    </w:p>
    <w:p>
      <w:pPr>
        <w:pStyle w:val="ListNumber"/>
      </w:pPr>
      <w:r>
        <w:rPr>
          <w:rFonts w:ascii="Calibri" w:hAnsi="Calibri"/>
          <w:sz w:val="21"/>
        </w:rPr>
        <w:t>Firewall con reglas de minimo privilegio.</w:t>
      </w:r>
    </w:p>
    <w:p>
      <w:pPr>
        <w:pStyle w:val="ListNumber"/>
      </w:pPr>
      <w:r>
        <w:rPr>
          <w:rFonts w:ascii="Calibri" w:hAnsi="Calibri"/>
          <w:sz w:val="21"/>
        </w:rPr>
        <w:t>Anti-DDoS en borde.</w:t>
      </w:r>
    </w:p>
    <w:p>
      <w:pPr>
        <w:pStyle w:val="ListNumber"/>
      </w:pPr>
      <w:r>
        <w:rPr>
          <w:rFonts w:ascii="Calibri" w:hAnsi="Calibri"/>
          <w:sz w:val="21"/>
        </w:rPr>
        <w:t>IDS/IPS opcional segun costo-beneficio.</w:t>
      </w:r>
    </w:p>
    <w:p>
      <w:pPr>
        <w:pStyle w:val="ListNumber"/>
      </w:pPr>
      <w:r>
        <w:rPr>
          <w:rFonts w:ascii="Calibri" w:hAnsi="Calibri"/>
          <w:sz w:val="21"/>
        </w:rPr>
        <w:t>MFA para accesos de administracion.</w:t>
      </w:r>
    </w:p>
    <w:p>
      <w:pPr>
        <w:pStyle w:val="ListNumber"/>
      </w:pPr>
      <w:r>
        <w:rPr>
          <w:rFonts w:ascii="Calibri" w:hAnsi="Calibri"/>
          <w:sz w:val="21"/>
        </w:rPr>
        <w:t>Bitacora centralizada y retencion de logs.</w:t>
      </w:r>
    </w:p>
    <w:p>
      <w:pPr>
        <w:pStyle w:val="Heading1"/>
      </w:pPr>
      <w:r>
        <w:t>8. Recomendacion de compra</w:t>
      </w:r>
    </w:p>
    <w:p>
      <w:pPr>
        <w:spacing w:after="120"/>
      </w:pPr>
      <w:r>
        <w:rPr>
          <w:rFonts w:ascii="Calibri" w:hAnsi="Calibri"/>
          <w:sz w:val="21"/>
        </w:rPr>
        <w:t>La compra debe pedirse como:</w:t>
      </w:r>
    </w:p>
    <w:p>
      <w:pPr>
        <w:spacing w:after="120"/>
      </w:pPr>
      <w:r>
        <w:rPr>
          <w:rFonts w:ascii="Calibri" w:hAnsi="Calibri"/>
          <w:sz w:val="21"/>
        </w:rPr>
        <w:t>"Infraestructura de nube privada empresarial o virtualizacion dedicada en Lima, con alta disponibilidad, sitio secundario, replicacion continua, backups externos, monitoreo y seguridad administrada"</w:t>
      </w:r>
    </w:p>
    <w:p>
      <w:pPr>
        <w:spacing w:after="120"/>
      </w:pPr>
      <w:r>
        <w:rPr>
          <w:rFonts w:ascii="Calibri" w:hAnsi="Calibri"/>
          <w:sz w:val="21"/>
        </w:rPr>
        <w:t>No se recomienda formular la compra solo como `VPS`, porque eso invita propuestas de menor nivel de control, menor garantia de recursos y menor capacidad contractual de continuidad.</w:t>
      </w:r>
    </w:p>
    <w:p>
      <w:pPr>
        <w:pStyle w:val="Heading1"/>
      </w:pPr>
      <w:r>
        <w:t>9. Fases sugeridas de implementacion</w:t>
      </w:r>
    </w:p>
    <w:p>
      <w:pPr>
        <w:pStyle w:val="Heading2"/>
      </w:pPr>
      <w:r>
        <w:t>Fase 1 - RFQ y evaluacion</w:t>
      </w:r>
    </w:p>
    <w:p>
      <w:pPr>
        <w:pStyle w:val="ListNumber"/>
      </w:pPr>
      <w:r>
        <w:rPr>
          <w:rFonts w:ascii="Calibri" w:hAnsi="Calibri"/>
          <w:sz w:val="21"/>
        </w:rPr>
        <w:t>Envio de RFQ a proveedores shortlist.</w:t>
      </w:r>
    </w:p>
    <w:p>
      <w:pPr>
        <w:pStyle w:val="ListNumber"/>
      </w:pPr>
      <w:r>
        <w:rPr>
          <w:rFonts w:ascii="Calibri" w:hAnsi="Calibri"/>
          <w:sz w:val="21"/>
        </w:rPr>
        <w:t>Comparacion tecnica y economica.</w:t>
      </w:r>
    </w:p>
    <w:p>
      <w:pPr>
        <w:pStyle w:val="ListNumber"/>
      </w:pPr>
      <w:r>
        <w:rPr>
          <w:rFonts w:ascii="Calibri" w:hAnsi="Calibri"/>
          <w:sz w:val="21"/>
        </w:rPr>
        <w:t>Validacion de SLA, RTO, RPO y NOC.</w:t>
      </w:r>
    </w:p>
    <w:p>
      <w:pPr>
        <w:pStyle w:val="Heading2"/>
      </w:pPr>
      <w:r>
        <w:t>Fase 2 - Provisionamiento</w:t>
      </w:r>
    </w:p>
    <w:p>
      <w:pPr>
        <w:pStyle w:val="ListNumber"/>
      </w:pPr>
      <w:r>
        <w:rPr>
          <w:rFonts w:ascii="Calibri" w:hAnsi="Calibri"/>
          <w:sz w:val="21"/>
        </w:rPr>
        <w:t>Provisionamiento del sitio primario.</w:t>
      </w:r>
    </w:p>
    <w:p>
      <w:pPr>
        <w:pStyle w:val="ListNumber"/>
      </w:pPr>
      <w:r>
        <w:rPr>
          <w:rFonts w:ascii="Calibri" w:hAnsi="Calibri"/>
          <w:sz w:val="21"/>
        </w:rPr>
        <w:t>Provisionamiento del sitio secundario.</w:t>
      </w:r>
    </w:p>
    <w:p>
      <w:pPr>
        <w:pStyle w:val="ListNumber"/>
      </w:pPr>
      <w:r>
        <w:rPr>
          <w:rFonts w:ascii="Calibri" w:hAnsi="Calibri"/>
          <w:sz w:val="21"/>
        </w:rPr>
        <w:t>Configuracion de red, seguridad y backups.</w:t>
      </w:r>
    </w:p>
    <w:p>
      <w:pPr>
        <w:pStyle w:val="Heading2"/>
      </w:pPr>
      <w:r>
        <w:t>Fase 3 - Migracion controlada</w:t>
      </w:r>
    </w:p>
    <w:p>
      <w:pPr>
        <w:pStyle w:val="ListNumber"/>
      </w:pPr>
      <w:r>
        <w:rPr>
          <w:rFonts w:ascii="Calibri" w:hAnsi="Calibri"/>
          <w:sz w:val="21"/>
        </w:rPr>
        <w:t>Replica inicial desde AWS.</w:t>
      </w:r>
    </w:p>
    <w:p>
      <w:pPr>
        <w:pStyle w:val="ListNumber"/>
      </w:pPr>
      <w:r>
        <w:rPr>
          <w:rFonts w:ascii="Calibri" w:hAnsi="Calibri"/>
          <w:sz w:val="21"/>
        </w:rPr>
        <w:t>Pruebas funcionales y de rendimiento.</w:t>
      </w:r>
    </w:p>
    <w:p>
      <w:pPr>
        <w:pStyle w:val="ListNumber"/>
      </w:pPr>
      <w:r>
        <w:rPr>
          <w:rFonts w:ascii="Calibri" w:hAnsi="Calibri"/>
          <w:sz w:val="21"/>
        </w:rPr>
        <w:t>Prueba de failover.</w:t>
      </w:r>
    </w:p>
    <w:p>
      <w:pPr>
        <w:pStyle w:val="ListNumber"/>
      </w:pPr>
      <w:r>
        <w:rPr>
          <w:rFonts w:ascii="Calibri" w:hAnsi="Calibri"/>
          <w:sz w:val="21"/>
        </w:rPr>
        <w:t>Cutover programado.</w:t>
      </w:r>
    </w:p>
    <w:p>
      <w:pPr>
        <w:pStyle w:val="Heading2"/>
      </w:pPr>
      <w:r>
        <w:t>Fase 4 - Estabilizacion</w:t>
      </w:r>
    </w:p>
    <w:p>
      <w:pPr>
        <w:pStyle w:val="ListNumber"/>
      </w:pPr>
      <w:r>
        <w:rPr>
          <w:rFonts w:ascii="Calibri" w:hAnsi="Calibri"/>
          <w:sz w:val="21"/>
        </w:rPr>
        <w:t>Monitoreo intensivo post migracion.</w:t>
      </w:r>
    </w:p>
    <w:p>
      <w:pPr>
        <w:pStyle w:val="ListNumber"/>
      </w:pPr>
      <w:r>
        <w:rPr>
          <w:rFonts w:ascii="Calibri" w:hAnsi="Calibri"/>
          <w:sz w:val="21"/>
        </w:rPr>
        <w:t>Ajustes de performance.</w:t>
      </w:r>
    </w:p>
    <w:p>
      <w:pPr>
        <w:pStyle w:val="ListNumber"/>
      </w:pPr>
      <w:r>
        <w:rPr>
          <w:rFonts w:ascii="Calibri" w:hAnsi="Calibri"/>
          <w:sz w:val="21"/>
        </w:rPr>
        <w:t>Validacion de continuidad.</w:t>
      </w:r>
    </w:p>
    <w:p>
      <w:pPr>
        <w:pStyle w:val="Heading1"/>
      </w:pPr>
      <w:r>
        <w:t>10. Conclusion ejecutiva</w:t>
      </w:r>
    </w:p>
    <w:p>
      <w:pPr>
        <w:spacing w:after="120"/>
      </w:pPr>
      <w:r>
        <w:rPr>
          <w:rFonts w:ascii="Calibri" w:hAnsi="Calibri"/>
          <w:sz w:val="21"/>
        </w:rPr>
        <w:t>La mejor arquitectura para AURIXA no es un VPS aislado, sino un esquema empresarial en Lima con dos sitios, recursos dedicados y gobierno de continuidad. Bajo ese criterio, la combinacion Cirion LIM1 como primario y GTD Lurin como secundario es la recomendacion mas solida para iniciar el proceso de RFQ y negociacion.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0C6866"/>
        <w:sz w:val="17"/>
      </w:rPr>
      <w:t>AURIXA 2026 - Documento de presentacion ejecutiva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3D5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C686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E3D5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E3D5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  <w:sz w:val="19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WBullet">
    <w:name w:val="SOW Bullet"/>
    <w:basedOn w:val="Normal"/>
    <w:rPr>
      <w:rFonts w:ascii="Calibri" w:hAnsi="Calibr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