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E3D57"/>
          <w:sz w:val="44"/>
        </w:rPr>
        <w:t>MEMO FINAL DE DECISION</w:t>
      </w:r>
    </w:p>
    <w:p>
      <w:pPr>
        <w:jc w:val="center"/>
      </w:pPr>
      <w:r>
        <w:rPr>
          <w:b/>
          <w:color w:val="0C6866"/>
          <w:sz w:val="26"/>
        </w:rPr>
        <w:t>Aprobacion Ejecutiva del Portafolio IA Minera 2026</w:t>
      </w:r>
    </w:p>
    <w:p>
      <w:pPr>
        <w:spacing w:after="280"/>
      </w:pPr>
    </w:p>
    <w:p>
      <w:pPr>
        <w:jc w:val="center"/>
      </w:pPr>
      <w:r>
        <w:rPr>
          <w:color w:val="222222"/>
          <w:sz w:val="20"/>
        </w:rPr>
        <w:t>Documento generado para presentacion ejecutiva</w:t>
        <w:br/>
        <w:t>Fuente: markdown fuente</w:t>
      </w:r>
    </w:p>
    <w:p/>
    <w:p/>
    <w:p>
      <w:pPr>
        <w:sectPr>
          <w:footerReference w:type="default" r:id="rId9"/>
          <w:pgSz w:w="12240" w:h="15840"/>
          <w:pgMar w:top="1080" w:right="1152" w:bottom="1080" w:left="1152" w:header="720" w:footer="720" w:gutter="0"/>
          <w:cols w:space="720"/>
          <w:docGrid w:linePitch="360"/>
        </w:sectPr>
      </w:pPr>
    </w:p>
    <w:p>
      <w:pPr>
        <w:pStyle w:val="Title"/>
      </w:pPr>
      <w:r>
        <w:t>MEMO FINAL DE DECISION</w:t>
      </w:r>
    </w:p>
    <w:p>
      <w:pPr>
        <w:pStyle w:val="Heading1"/>
      </w:pPr>
      <w:r>
        <w:t>Aprobacion Ejecutiva del Portafolio IA Minera 2026</w:t>
      </w:r>
    </w:p>
    <w:p>
      <w:pPr>
        <w:spacing w:after="120"/>
      </w:pPr>
      <w:r>
        <w:rPr>
          <w:rFonts w:ascii="Calibri" w:hAnsi="Calibri"/>
          <w:sz w:val="21"/>
        </w:rPr>
        <w:t>Dirigido a: Directorio, Gerencia General y Gerencia TI</w:t>
      </w:r>
    </w:p>
    <w:p>
      <w:pPr>
        <w:spacing w:after="120"/>
      </w:pPr>
      <w:r>
        <w:rPr>
          <w:rFonts w:ascii="Calibri" w:hAnsi="Calibri"/>
          <w:sz w:val="21"/>
        </w:rPr>
        <w:t>Fecha: 15 de mayo de 2026</w:t>
      </w:r>
    </w:p>
    <w:p>
      <w:pPr>
        <w:spacing w:after="120"/>
      </w:pPr>
      <w:r>
        <w:rPr>
          <w:rFonts w:ascii="Calibri" w:hAnsi="Calibri"/>
          <w:sz w:val="21"/>
        </w:rPr>
        <w:t>Objetivo: consolidar la recomendacion final y ordenar el paquete de decision ejecutivo para aprobacion.</w:t>
      </w:r>
    </w:p>
    <w:p>
      <w:pPr>
        <w:pStyle w:val="Heading1"/>
      </w:pPr>
      <w:r>
        <w:t>1. Decision recomendada</w:t>
      </w:r>
    </w:p>
    <w:p>
      <w:pPr>
        <w:spacing w:after="120"/>
      </w:pPr>
      <w:r>
        <w:rPr>
          <w:rFonts w:ascii="Calibri" w:hAnsi="Calibri"/>
          <w:sz w:val="21"/>
        </w:rPr>
        <w:t>Se recomienda aprobar un portafolio IA multivendor, gobernado por TI y desplegado por fases, en lugar de comprar herramientas aisladas o depender de un solo proveedor.</w:t>
      </w:r>
    </w:p>
    <w:p>
      <w:pPr>
        <w:pStyle w:val="Heading1"/>
      </w:pPr>
      <w:r>
        <w:t>2. Que incluye la decision</w:t>
      </w:r>
    </w:p>
    <w:p>
      <w:pPr>
        <w:pStyle w:val="ListNumber"/>
      </w:pPr>
      <w:r>
        <w:rPr>
          <w:rFonts w:ascii="Calibri" w:hAnsi="Calibri"/>
          <w:sz w:val="21"/>
        </w:rPr>
        <w:t>Base corporativa de productividad con GitHub Copilot.</w:t>
      </w:r>
    </w:p>
    <w:p>
      <w:pPr>
        <w:pStyle w:val="ListNumber"/>
      </w:pPr>
      <w:r>
        <w:rPr>
          <w:rFonts w:ascii="Calibri" w:hAnsi="Calibri"/>
          <w:sz w:val="21"/>
        </w:rPr>
        <w:t>Capa senior de ingenieria con Claude Code Team o Windsurf Teams segun el frente tecnico.</w:t>
      </w:r>
    </w:p>
    <w:p>
      <w:pPr>
        <w:pStyle w:val="ListNumber"/>
      </w:pPr>
      <w:r>
        <w:rPr>
          <w:rFonts w:ascii="Calibri" w:hAnsi="Calibri"/>
          <w:sz w:val="21"/>
        </w:rPr>
        <w:t>Modelos premium para razonamiento y documentos con Claude Sonnet 4.6 y GPT-5.4.</w:t>
      </w:r>
    </w:p>
    <w:p>
      <w:pPr>
        <w:pStyle w:val="ListNumber"/>
      </w:pPr>
      <w:r>
        <w:rPr>
          <w:rFonts w:ascii="Calibri" w:hAnsi="Calibri"/>
          <w:sz w:val="21"/>
        </w:rPr>
        <w:t>Modelos de alto volumen y costo eficiente con Gemini 2.5 Flash.</w:t>
      </w:r>
    </w:p>
    <w:p>
      <w:pPr>
        <w:pStyle w:val="ListNumber"/>
      </w:pPr>
      <w:r>
        <w:rPr>
          <w:rFonts w:ascii="Calibri" w:hAnsi="Calibri"/>
          <w:sz w:val="21"/>
        </w:rPr>
        <w:t>Portabilidad hybrid y control de TCO con Mistral Medium 3.1.</w:t>
      </w:r>
    </w:p>
    <w:p>
      <w:pPr>
        <w:pStyle w:val="ListNumber"/>
      </w:pPr>
      <w:r>
        <w:rPr>
          <w:rFonts w:ascii="Calibri" w:hAnsi="Calibri"/>
          <w:sz w:val="21"/>
        </w:rPr>
        <w:t>Continuidad AWS y servicios gobernados con Amazon Bedrock.</w:t>
      </w:r>
    </w:p>
    <w:p>
      <w:pPr>
        <w:pStyle w:val="ListNumber"/>
      </w:pPr>
      <w:r>
        <w:rPr>
          <w:rFonts w:ascii="Calibri" w:hAnsi="Calibri"/>
          <w:sz w:val="21"/>
        </w:rPr>
        <w:t>Ruta progresiva hacia ML propio con PyTorch, XGBoost y MLflow.</w:t>
      </w:r>
    </w:p>
    <w:p>
      <w:pPr>
        <w:pStyle w:val="Heading1"/>
      </w:pPr>
      <w:r>
        <w:t>3. Shortlist ejecutivo validado</w:t>
      </w:r>
    </w:p>
    <w:p>
      <w:pPr>
        <w:spacing w:after="120"/>
      </w:pPr>
      <w:r>
        <w:rPr>
          <w:rFonts w:ascii="Calibri" w:hAnsi="Calibri"/>
          <w:sz w:val="21"/>
        </w:rPr>
        <w:t>El shortlist resumido para comite queda concentrado en cinco plataformas finalistas:</w:t>
      </w:r>
    </w:p>
    <w:p>
      <w:pPr>
        <w:pStyle w:val="ListNumber"/>
      </w:pPr>
      <w:r>
        <w:rPr>
          <w:rFonts w:ascii="Calibri" w:hAnsi="Calibri"/>
          <w:sz w:val="21"/>
        </w:rPr>
        <w:t>Gemini 2.5 Flash.</w:t>
      </w:r>
    </w:p>
    <w:p>
      <w:pPr>
        <w:pStyle w:val="ListNumber"/>
      </w:pPr>
      <w:r>
        <w:rPr>
          <w:rFonts w:ascii="Calibri" w:hAnsi="Calibri"/>
          <w:sz w:val="21"/>
        </w:rPr>
        <w:t>Azure OpenAI.</w:t>
      </w:r>
    </w:p>
    <w:p>
      <w:pPr>
        <w:pStyle w:val="ListNumber"/>
      </w:pPr>
      <w:r>
        <w:rPr>
          <w:rFonts w:ascii="Calibri" w:hAnsi="Calibri"/>
          <w:sz w:val="21"/>
        </w:rPr>
        <w:t>Gemini 2.5 Pro.</w:t>
      </w:r>
    </w:p>
    <w:p>
      <w:pPr>
        <w:pStyle w:val="ListNumber"/>
      </w:pPr>
      <w:r>
        <w:rPr>
          <w:rFonts w:ascii="Calibri" w:hAnsi="Calibri"/>
          <w:sz w:val="21"/>
        </w:rPr>
        <w:t>Mistral Medium 3.1.</w:t>
      </w:r>
    </w:p>
    <w:p>
      <w:pPr>
        <w:pStyle w:val="ListNumber"/>
      </w:pPr>
      <w:r>
        <w:rPr>
          <w:rFonts w:ascii="Calibri" w:hAnsi="Calibri"/>
          <w:sz w:val="21"/>
        </w:rPr>
        <w:t>Claude Sonnet 4.6.</w:t>
      </w:r>
    </w:p>
    <w:p>
      <w:pPr>
        <w:pStyle w:val="Heading1"/>
      </w:pPr>
      <w:r>
        <w:t>4. Modalidad de aprobacion sugerida</w:t>
      </w:r>
    </w:p>
    <w:p>
      <w:pPr>
        <w:spacing w:after="120"/>
      </w:pPr>
      <w:r>
        <w:rPr>
          <w:rFonts w:ascii="Calibri" w:hAnsi="Calibri"/>
          <w:sz w:val="21"/>
        </w:rPr>
        <w:t>Se recomienda una aprobacion en dos velocidades:</w:t>
      </w:r>
    </w:p>
    <w:p>
      <w:pPr>
        <w:pStyle w:val="ListNumber"/>
      </w:pPr>
      <w:r>
        <w:rPr>
          <w:rFonts w:ascii="Calibri" w:hAnsi="Calibri"/>
          <w:sz w:val="21"/>
        </w:rPr>
        <w:t>Base conservadora corporativa: GitHub Copilot + Azure OpenAI o Gemini 2.5 Flash + Amazon Bedrock para gobierno, costo controlado y despliegue amplio.</w:t>
      </w:r>
    </w:p>
    <w:p>
      <w:pPr>
        <w:pStyle w:val="ListNumber"/>
      </w:pPr>
      <w:r>
        <w:rPr>
          <w:rFonts w:ascii="Calibri" w:hAnsi="Calibri"/>
          <w:sz w:val="21"/>
        </w:rPr>
        <w:t>Celula avanzada controlada: Claude Sonnet 4.6 + GPT-5.4 + Windsurf o Mistral para arquitectura, automatizacion avanzada y trabajo senior de mayor complejidad.</w:t>
      </w:r>
    </w:p>
    <w:p>
      <w:pPr>
        <w:pStyle w:val="Heading1"/>
      </w:pPr>
      <w:r>
        <w:t>5. Presupuesto de referencia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Escenario</w:t>
            </w:r>
          </w:p>
        </w:tc>
        <w:tc>
          <w:tcPr>
            <w:tcW w:type="dxa" w:w="4968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Rango anual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Conservador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USD 44,130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Medio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alrededor de USD 83,000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Expandido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USD 103,050</w:t>
            </w:r>
          </w:p>
        </w:tc>
      </w:tr>
    </w:tbl>
    <w:p/>
    <w:p>
      <w:pPr>
        <w:pStyle w:val="Heading1"/>
      </w:pPr>
      <w:r>
        <w:t>6. Riesgos que quedan bajo control</w:t>
      </w:r>
    </w:p>
    <w:p>
      <w:pPr>
        <w:spacing w:after="120"/>
      </w:pPr>
      <w:r>
        <w:rPr>
          <w:rFonts w:ascii="Calibri" w:hAnsi="Calibri"/>
          <w:sz w:val="21"/>
        </w:rPr>
        <w:t>Los riesgos principales ya identificados son:</w:t>
      </w:r>
    </w:p>
    <w:p>
      <w:pPr>
        <w:pStyle w:val="ListNumber"/>
      </w:pPr>
      <w:r>
        <w:rPr>
          <w:rFonts w:ascii="Calibri" w:hAnsi="Calibri"/>
          <w:sz w:val="21"/>
        </w:rPr>
        <w:t>Dispersion de proveedores.</w:t>
      </w:r>
    </w:p>
    <w:p>
      <w:pPr>
        <w:pStyle w:val="ListNumber"/>
      </w:pPr>
      <w:r>
        <w:rPr>
          <w:rFonts w:ascii="Calibri" w:hAnsi="Calibri"/>
          <w:sz w:val="21"/>
        </w:rPr>
        <w:t>Sobrecosto por consumo y licencias.</w:t>
      </w:r>
    </w:p>
    <w:p>
      <w:pPr>
        <w:pStyle w:val="ListNumber"/>
      </w:pPr>
      <w:r>
        <w:rPr>
          <w:rFonts w:ascii="Calibri" w:hAnsi="Calibri"/>
          <w:sz w:val="21"/>
        </w:rPr>
        <w:t>Riesgos de seguridad y datos.</w:t>
      </w:r>
    </w:p>
    <w:p>
      <w:pPr>
        <w:pStyle w:val="ListNumber"/>
      </w:pPr>
      <w:r>
        <w:rPr>
          <w:rFonts w:ascii="Calibri" w:hAnsi="Calibri"/>
          <w:sz w:val="21"/>
        </w:rPr>
        <w:t>Baja adopcion.</w:t>
      </w:r>
    </w:p>
    <w:p>
      <w:pPr>
        <w:pStyle w:val="ListNumber"/>
      </w:pPr>
      <w:r>
        <w:rPr>
          <w:rFonts w:ascii="Calibri" w:hAnsi="Calibri"/>
          <w:sz w:val="21"/>
        </w:rPr>
        <w:t>Escalar ML propio antes de tiempo.</w:t>
      </w:r>
    </w:p>
    <w:p>
      <w:pPr>
        <w:spacing w:after="120"/>
      </w:pPr>
      <w:r>
        <w:rPr>
          <w:rFonts w:ascii="Calibri" w:hAnsi="Calibri"/>
          <w:sz w:val="21"/>
        </w:rPr>
        <w:t>La mitigacion propuesta se basa en gateway unico, FinOps IA, SSO, auditoria, politicas de uso y adopcion por fases.</w:t>
      </w:r>
    </w:p>
    <w:p>
      <w:pPr>
        <w:pStyle w:val="Heading1"/>
      </w:pPr>
      <w:r>
        <w:t>7. Paquete de decision entregado</w:t>
      </w:r>
    </w:p>
    <w:p>
      <w:pPr>
        <w:spacing w:after="120"/>
      </w:pPr>
      <w:r>
        <w:rPr>
          <w:rFonts w:ascii="Calibri" w:hAnsi="Calibri"/>
          <w:sz w:val="21"/>
        </w:rPr>
        <w:t>Este memo consolida un paquete ya disponible para decision ejecutiva:</w:t>
      </w:r>
    </w:p>
    <w:p>
      <w:pPr>
        <w:pStyle w:val="ListNumber"/>
      </w:pPr>
      <w:r>
        <w:rPr>
          <w:rFonts w:ascii="Calibri" w:hAnsi="Calibri"/>
          <w:sz w:val="21"/>
        </w:rPr>
        <w:t>Matriz comparativa y scoring en Excel.</w:t>
      </w:r>
    </w:p>
    <w:p>
      <w:pPr>
        <w:pStyle w:val="ListNumber"/>
      </w:pPr>
      <w:r>
        <w:rPr>
          <w:rFonts w:ascii="Calibri" w:hAnsi="Calibri"/>
          <w:sz w:val="21"/>
        </w:rPr>
        <w:t>Resumen ejecutivo de 1 pagina.</w:t>
      </w:r>
    </w:p>
    <w:p>
      <w:pPr>
        <w:pStyle w:val="ListNumber"/>
      </w:pPr>
      <w:r>
        <w:rPr>
          <w:rFonts w:ascii="Calibri" w:hAnsi="Calibri"/>
          <w:sz w:val="21"/>
        </w:rPr>
        <w:t>Roadmap trimestral con presupuesto.</w:t>
      </w:r>
    </w:p>
    <w:p>
      <w:pPr>
        <w:pStyle w:val="ListNumber"/>
      </w:pPr>
      <w:r>
        <w:rPr>
          <w:rFonts w:ascii="Calibri" w:hAnsi="Calibri"/>
          <w:sz w:val="21"/>
        </w:rPr>
        <w:t>Presentacion ejecutiva para comite.</w:t>
      </w:r>
    </w:p>
    <w:p>
      <w:pPr>
        <w:pStyle w:val="ListNumber"/>
      </w:pPr>
      <w:r>
        <w:rPr>
          <w:rFonts w:ascii="Calibri" w:hAnsi="Calibri"/>
          <w:sz w:val="21"/>
        </w:rPr>
        <w:t>Anexo de riesgos y mitigaciones.</w:t>
      </w:r>
    </w:p>
    <w:p>
      <w:pPr>
        <w:pStyle w:val="Heading1"/>
      </w:pPr>
      <w:r>
        <w:t>8. Decision solicitada</w:t>
      </w:r>
    </w:p>
    <w:p>
      <w:pPr>
        <w:spacing w:after="120"/>
      </w:pPr>
      <w:r>
        <w:rPr>
          <w:rFonts w:ascii="Calibri" w:hAnsi="Calibri"/>
          <w:sz w:val="21"/>
        </w:rPr>
        <w:t>Se solicita aprobar el programa IA Minera 2026 bajo gobierno de Gerencia TI, con revision ejecutiva trimestral, presupuesto por escenarios y despliegue gradual sobre la nueva plataforma minera en VPS con continuidad de servicios en AWS.</w:t>
      </w:r>
    </w:p>
    <w:p>
      <w:pPr>
        <w:spacing w:after="120"/>
      </w:pPr>
      <w:r>
        <w:rPr>
          <w:rFonts w:ascii="Calibri" w:hAnsi="Calibri"/>
          <w:sz w:val="21"/>
        </w:rPr>
        <w:t>La recomendacion final es aprobar ahora la base corporativa y habilitar una celula avanzada controlada, porque esta combinacion equilibra mejor costo, control, velocidad y capacidad de evolucion.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0C6866"/>
        <w:sz w:val="17"/>
      </w:rPr>
      <w:t>AURIXA 2026 - Documento de presentacion ejecutiva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E3D5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C686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E3D5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E3D57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Calibri" w:hAnsi="Calibri"/>
      <w:i/>
      <w:iCs/>
      <w:color w:val="000000" w:themeColor="text1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libri" w:hAnsi="Calibri"/>
      <w:sz w:val="19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WBullet">
    <w:name w:val="SOW Bullet"/>
    <w:basedOn w:val="Normal"/>
    <w:rPr>
      <w:rFonts w:ascii="Calibri" w:hAnsi="Calibri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