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3D57"/>
          <w:sz w:val="44"/>
        </w:rPr>
        <w:t>ROADMAP TRIMESTRAL</w:t>
      </w:r>
    </w:p>
    <w:p>
      <w:pPr>
        <w:jc w:val="center"/>
      </w:pPr>
      <w:r>
        <w:rPr>
          <w:b/>
          <w:color w:val="0C6866"/>
          <w:sz w:val="26"/>
        </w:rPr>
        <w:t>Programa de Adopcion IA para Plataforma Minera 2026</w:t>
      </w:r>
    </w:p>
    <w:p>
      <w:pPr>
        <w:spacing w:after="280"/>
      </w:pPr>
    </w:p>
    <w:p>
      <w:pPr>
        <w:jc w:val="center"/>
      </w:pPr>
      <w:r>
        <w:rPr>
          <w:color w:val="222222"/>
          <w:sz w:val="20"/>
        </w:rPr>
        <w:t>Documento generado para presentacion ejecutiva</w:t>
        <w:br/>
        <w:t>Fuente: markdown fuente</w:t>
      </w:r>
    </w:p>
    <w:p/>
    <w:p/>
    <w:p>
      <w:pPr>
        <w:sectPr>
          <w:footerReference w:type="default" r:id="rId9"/>
          <w:pgSz w:w="12240" w:h="15840"/>
          <w:pgMar w:top="1080" w:right="1152" w:bottom="1080" w:left="1152" w:header="720" w:footer="720" w:gutter="0"/>
          <w:cols w:space="720"/>
          <w:docGrid w:linePitch="360"/>
        </w:sectPr>
      </w:pPr>
    </w:p>
    <w:p>
      <w:pPr>
        <w:pStyle w:val="Title"/>
      </w:pPr>
      <w:r>
        <w:t>ROADMAP TRIMESTRAL</w:t>
      </w:r>
    </w:p>
    <w:p>
      <w:pPr>
        <w:pStyle w:val="Heading1"/>
      </w:pPr>
      <w:r>
        <w:t>Programa de Adopcion IA para Plataforma Minera 2026</w:t>
      </w:r>
    </w:p>
    <w:p>
      <w:pPr>
        <w:spacing w:after="120"/>
      </w:pPr>
      <w:r>
        <w:rPr>
          <w:rFonts w:ascii="Calibri" w:hAnsi="Calibri"/>
          <w:sz w:val="21"/>
        </w:rPr>
        <w:t>Fecha: 15 de mayo de 2026</w:t>
      </w:r>
    </w:p>
    <w:p>
      <w:pPr>
        <w:spacing w:after="120"/>
      </w:pPr>
      <w:r>
        <w:rPr>
          <w:rFonts w:ascii="Calibri" w:hAnsi="Calibri"/>
          <w:sz w:val="21"/>
        </w:rPr>
        <w:t>Dirigido a: Gerencia General y Gerencia TI</w:t>
      </w:r>
    </w:p>
    <w:p>
      <w:pPr>
        <w:spacing w:after="120"/>
      </w:pPr>
      <w:r>
        <w:rPr>
          <w:rFonts w:ascii="Calibri" w:hAnsi="Calibri"/>
          <w:sz w:val="21"/>
        </w:rPr>
        <w:t>Objetivo: Organizar la adopcion de IA por fases, responsables y presupuesto referencial.</w:t>
      </w:r>
    </w:p>
    <w:p>
      <w:pPr>
        <w:pStyle w:val="Heading1"/>
      </w:pPr>
      <w:r>
        <w:t>1. Enfoque general</w:t>
      </w:r>
    </w:p>
    <w:p>
      <w:pPr>
        <w:spacing w:after="120"/>
      </w:pPr>
      <w:r>
        <w:rPr>
          <w:rFonts w:ascii="Calibri" w:hAnsi="Calibri"/>
          <w:sz w:val="21"/>
        </w:rPr>
        <w:t>El programa debe implementarse por trimestres para controlar riesgo, gasto y capacidad de absorcion organizacional. El objetivo no es desplegar todo al mismo tiempo, sino construir una plataforma de IA reutilizable, gobernada y medible.</w:t>
      </w:r>
    </w:p>
    <w:p>
      <w:pPr>
        <w:pStyle w:val="Heading1"/>
      </w:pPr>
      <w:r>
        <w:t>2. Roadmap por trimestre</w:t>
      </w:r>
    </w:p>
    <w:p>
      <w:pPr>
        <w:pStyle w:val="Heading2"/>
      </w:pPr>
      <w:r>
        <w:t>Trimestre 1 - Fundacion y productividad</w:t>
      </w:r>
    </w:p>
    <w:p>
      <w:pPr>
        <w:spacing w:after="120"/>
      </w:pPr>
      <w:r>
        <w:rPr>
          <w:rFonts w:ascii="Calibri" w:hAnsi="Calibri"/>
          <w:sz w:val="21"/>
        </w:rPr>
        <w:t>Objetivo: activar la capa base de productividad y gobierno.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Frente</w:t>
            </w:r>
          </w:p>
        </w:tc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Actividades principales</w:t>
            </w:r>
          </w:p>
        </w:tc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Equipo lider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Copilotos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Despliegue de GitHub Copilot, pilotos con Claude Code o Windsurf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Arquitectura + Desarrollo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Gateway IA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Implementacion de gateway multi-modelo y politicas de acceso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Arquitectura + DevOps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Seguridad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Gestion de llaves, auditoria, cuotas y politicas basicas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Seguridad + DevOps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RAG inicial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Repositorio documental base y embeddings iniciales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Desarrollo + Datos</w:t>
            </w:r>
          </w:p>
        </w:tc>
      </w:tr>
    </w:tbl>
    <w:p/>
    <w:p>
      <w:pPr>
        <w:spacing w:after="120"/>
      </w:pPr>
      <w:r>
        <w:rPr>
          <w:rFonts w:ascii="Calibri" w:hAnsi="Calibri"/>
          <w:sz w:val="21"/>
        </w:rPr>
        <w:t>Presupuesto referencial trimestral:</w:t>
      </w:r>
    </w:p>
    <w:p>
      <w:pPr>
        <w:pStyle w:val="ListNumber"/>
      </w:pPr>
      <w:r>
        <w:rPr>
          <w:rFonts w:ascii="Calibri" w:hAnsi="Calibri"/>
          <w:sz w:val="21"/>
        </w:rPr>
        <w:t>Licencias base: USD 750.</w:t>
      </w:r>
    </w:p>
    <w:p>
      <w:pPr>
        <w:pStyle w:val="ListNumber"/>
      </w:pPr>
      <w:r>
        <w:rPr>
          <w:rFonts w:ascii="Calibri" w:hAnsi="Calibri"/>
          <w:sz w:val="21"/>
        </w:rPr>
        <w:t>Licencias premium: USD 960 a USD 3,600.</w:t>
      </w:r>
    </w:p>
    <w:p>
      <w:pPr>
        <w:pStyle w:val="ListNumber"/>
      </w:pPr>
      <w:r>
        <w:rPr>
          <w:rFonts w:ascii="Calibri" w:hAnsi="Calibri"/>
          <w:sz w:val="21"/>
        </w:rPr>
        <w:t>API y pruebas: USD 1,500 a USD 3,000.</w:t>
      </w:r>
    </w:p>
    <w:p>
      <w:pPr>
        <w:pStyle w:val="ListNumber"/>
      </w:pPr>
      <w:r>
        <w:rPr>
          <w:rFonts w:ascii="Calibri" w:hAnsi="Calibri"/>
          <w:sz w:val="21"/>
        </w:rPr>
        <w:t>Infraestructura y observabilidad: USD 1,000 a USD 2,000.</w:t>
      </w:r>
    </w:p>
    <w:p>
      <w:pPr>
        <w:spacing w:after="120"/>
      </w:pPr>
      <w:r>
        <w:rPr>
          <w:rFonts w:ascii="Calibri" w:hAnsi="Calibri"/>
          <w:sz w:val="21"/>
        </w:rPr>
        <w:t>Rango total T1: USD 4,210 a USD 9,350.</w:t>
      </w:r>
    </w:p>
    <w:p>
      <w:pPr>
        <w:pStyle w:val="Heading2"/>
      </w:pPr>
      <w:r>
        <w:t>Trimestre 2 - Document AI, operacion y continuidad</w:t>
      </w:r>
    </w:p>
    <w:p>
      <w:pPr>
        <w:spacing w:after="120"/>
      </w:pPr>
      <w:r>
        <w:rPr>
          <w:rFonts w:ascii="Calibri" w:hAnsi="Calibri"/>
          <w:sz w:val="21"/>
        </w:rPr>
        <w:t>Objetivo: industrializar document AI, asistentes internos y soporte operativo.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Frente</w:t>
            </w:r>
          </w:p>
        </w:tc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Actividades principales</w:t>
            </w:r>
          </w:p>
        </w:tc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Equipo lider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Document AI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OCR, clasificacion documental, correccion y RAG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Desarrollo + Datos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Copilotos operativos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Resumen de eventos, tickets, telemetria y reportes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Desarrollo + Operaciones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Plataforma AWS/VPS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Integracion de IA con nueva plataforma VPS y continuidad AWS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Arquitectura + DevOps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Observabilidad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Trazas, costos, evaluacion y metricas de uso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DevOps + Arquitectura</w:t>
            </w:r>
          </w:p>
        </w:tc>
      </w:tr>
    </w:tbl>
    <w:p/>
    <w:p>
      <w:pPr>
        <w:spacing w:after="120"/>
      </w:pPr>
      <w:r>
        <w:rPr>
          <w:rFonts w:ascii="Calibri" w:hAnsi="Calibri"/>
          <w:sz w:val="21"/>
        </w:rPr>
        <w:t>Presupuesto referencial trimestral:</w:t>
      </w:r>
    </w:p>
    <w:p>
      <w:pPr>
        <w:pStyle w:val="ListNumber"/>
      </w:pPr>
      <w:r>
        <w:rPr>
          <w:rFonts w:ascii="Calibri" w:hAnsi="Calibri"/>
          <w:sz w:val="21"/>
        </w:rPr>
        <w:t>Licencias base y premium: USD 1,710 a USD 4,350.</w:t>
      </w:r>
    </w:p>
    <w:p>
      <w:pPr>
        <w:pStyle w:val="ListNumber"/>
      </w:pPr>
      <w:r>
        <w:rPr>
          <w:rFonts w:ascii="Calibri" w:hAnsi="Calibri"/>
          <w:sz w:val="21"/>
        </w:rPr>
        <w:t>API operativa: USD 4,500 a USD 9,000.</w:t>
      </w:r>
    </w:p>
    <w:p>
      <w:pPr>
        <w:pStyle w:val="ListNumber"/>
      </w:pPr>
      <w:r>
        <w:rPr>
          <w:rFonts w:ascii="Calibri" w:hAnsi="Calibri"/>
          <w:sz w:val="21"/>
        </w:rPr>
        <w:t>OCR, embeddings, vector store y storage: USD 1,500 a USD 4,000.</w:t>
      </w:r>
    </w:p>
    <w:p>
      <w:pPr>
        <w:pStyle w:val="ListNumber"/>
      </w:pPr>
      <w:r>
        <w:rPr>
          <w:rFonts w:ascii="Calibri" w:hAnsi="Calibri"/>
          <w:sz w:val="21"/>
        </w:rPr>
        <w:t>Observabilidad y seguridad: USD 1,500 a USD 3,000.</w:t>
      </w:r>
    </w:p>
    <w:p>
      <w:pPr>
        <w:spacing w:after="120"/>
      </w:pPr>
      <w:r>
        <w:rPr>
          <w:rFonts w:ascii="Calibri" w:hAnsi="Calibri"/>
          <w:sz w:val="21"/>
        </w:rPr>
        <w:t>Rango total T2: USD 9,210 a USD 20,350.</w:t>
      </w:r>
    </w:p>
    <w:p>
      <w:pPr>
        <w:pStyle w:val="Heading2"/>
      </w:pPr>
      <w:r>
        <w:t>Trimestre 3 - Analitica minera y prediccion</w:t>
      </w:r>
    </w:p>
    <w:p>
      <w:pPr>
        <w:spacing w:after="120"/>
      </w:pPr>
      <w:r>
        <w:rPr>
          <w:rFonts w:ascii="Calibri" w:hAnsi="Calibri"/>
          <w:sz w:val="21"/>
        </w:rPr>
        <w:t>Objetivo: habilitar la plataforma de entrenamiento y despliegue de modelos mineros propios.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Frente</w:t>
            </w:r>
          </w:p>
        </w:tc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Actividades principales</w:t>
            </w:r>
          </w:p>
        </w:tc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Equipo lider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ML Platform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MLflow, datasets, features, experiment tracking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Datos + Arquitectura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Prediccion de eventos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Baselines con XGBoost, LightGBM y PyTorch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Datos + Especialistas mineros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Vision y biometria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Industrializacion de pipelines faciales y validacion operativa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IA Python + Seguridad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MLOps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Versionado, evaluacion, despliegue y monitoreo de modelos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DevOps + Datos</w:t>
            </w:r>
          </w:p>
        </w:tc>
      </w:tr>
    </w:tbl>
    <w:p/>
    <w:p>
      <w:pPr>
        <w:spacing w:after="120"/>
      </w:pPr>
      <w:r>
        <w:rPr>
          <w:rFonts w:ascii="Calibri" w:hAnsi="Calibri"/>
          <w:sz w:val="21"/>
        </w:rPr>
        <w:t>Presupuesto referencial trimestral:</w:t>
      </w:r>
    </w:p>
    <w:p>
      <w:pPr>
        <w:pStyle w:val="ListNumber"/>
      </w:pPr>
      <w:r>
        <w:rPr>
          <w:rFonts w:ascii="Calibri" w:hAnsi="Calibri"/>
          <w:sz w:val="21"/>
        </w:rPr>
        <w:t>Licencias base y premium: USD 1,710 a USD 4,350.</w:t>
      </w:r>
    </w:p>
    <w:p>
      <w:pPr>
        <w:pStyle w:val="ListNumber"/>
      </w:pPr>
      <w:r>
        <w:rPr>
          <w:rFonts w:ascii="Calibri" w:hAnsi="Calibri"/>
          <w:sz w:val="21"/>
        </w:rPr>
        <w:t>API generativa y evaluacion: USD 6,000 a USD 12,000.</w:t>
      </w:r>
    </w:p>
    <w:p>
      <w:pPr>
        <w:pStyle w:val="ListNumber"/>
      </w:pPr>
      <w:r>
        <w:rPr>
          <w:rFonts w:ascii="Calibri" w:hAnsi="Calibri"/>
          <w:sz w:val="21"/>
        </w:rPr>
        <w:t>Plataforma ML y compute: USD 4,000 a USD 12,000.</w:t>
      </w:r>
    </w:p>
    <w:p>
      <w:pPr>
        <w:pStyle w:val="ListNumber"/>
      </w:pPr>
      <w:r>
        <w:rPr>
          <w:rFonts w:ascii="Calibri" w:hAnsi="Calibri"/>
          <w:sz w:val="21"/>
        </w:rPr>
        <w:t>Datos, almacenamiento y monitoreo: USD 2,500 a USD 6,000.</w:t>
      </w:r>
    </w:p>
    <w:p>
      <w:pPr>
        <w:spacing w:after="120"/>
      </w:pPr>
      <w:r>
        <w:rPr>
          <w:rFonts w:ascii="Calibri" w:hAnsi="Calibri"/>
          <w:sz w:val="21"/>
        </w:rPr>
        <w:t>Rango total T3: USD 14,210 a USD 34,350.</w:t>
      </w:r>
    </w:p>
    <w:p>
      <w:pPr>
        <w:pStyle w:val="Heading2"/>
      </w:pPr>
      <w:r>
        <w:t>Trimestre 4 - Escalamiento y gobierno corporativo</w:t>
      </w:r>
    </w:p>
    <w:p>
      <w:pPr>
        <w:spacing w:after="120"/>
      </w:pPr>
      <w:r>
        <w:rPr>
          <w:rFonts w:ascii="Calibri" w:hAnsi="Calibri"/>
          <w:sz w:val="21"/>
        </w:rPr>
        <w:t>Objetivo: consolidar estandar corporativo y expandir a proyectos mineros adicionales.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Frente</w:t>
            </w:r>
          </w:p>
        </w:tc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Actividades principales</w:t>
            </w:r>
          </w:p>
        </w:tc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Equipo lider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Gobierno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Politicas finales, catalogo de agentes y auditoria central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Arquitectura + Seguridad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Escalamiento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Expansion a otras areas y proyectos de automatizacion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Gerencia TI + Arquitectura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Optimizacion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Ajuste de TCO, caching, routing y FinOps IA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Arquitectura + DevOps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Continuidad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Mayor integracion entre VPS principal y AWS respaldo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DevOps + Infraestructura</w:t>
            </w:r>
          </w:p>
        </w:tc>
      </w:tr>
    </w:tbl>
    <w:p/>
    <w:p>
      <w:pPr>
        <w:spacing w:after="120"/>
      </w:pPr>
      <w:r>
        <w:rPr>
          <w:rFonts w:ascii="Calibri" w:hAnsi="Calibri"/>
          <w:sz w:val="21"/>
        </w:rPr>
        <w:t>Presupuesto referencial trimestral:</w:t>
      </w:r>
    </w:p>
    <w:p>
      <w:pPr>
        <w:pStyle w:val="ListNumber"/>
      </w:pPr>
      <w:r>
        <w:rPr>
          <w:rFonts w:ascii="Calibri" w:hAnsi="Calibri"/>
          <w:sz w:val="21"/>
        </w:rPr>
        <w:t>Licencias y adopcion extendida: USD 2,500 a USD 6,000.</w:t>
      </w:r>
    </w:p>
    <w:p>
      <w:pPr>
        <w:pStyle w:val="ListNumber"/>
      </w:pPr>
      <w:r>
        <w:rPr>
          <w:rFonts w:ascii="Calibri" w:hAnsi="Calibri"/>
          <w:sz w:val="21"/>
        </w:rPr>
        <w:t>API y workloads productivos: USD 8,000 a USD 18,000.</w:t>
      </w:r>
    </w:p>
    <w:p>
      <w:pPr>
        <w:pStyle w:val="ListNumber"/>
      </w:pPr>
      <w:r>
        <w:rPr>
          <w:rFonts w:ascii="Calibri" w:hAnsi="Calibri"/>
          <w:sz w:val="21"/>
        </w:rPr>
        <w:t>Gobierno, seguridad y observabilidad: USD 3,000 a USD 7,000.</w:t>
      </w:r>
    </w:p>
    <w:p>
      <w:pPr>
        <w:pStyle w:val="ListNumber"/>
      </w:pPr>
      <w:r>
        <w:rPr>
          <w:rFonts w:ascii="Calibri" w:hAnsi="Calibri"/>
          <w:sz w:val="21"/>
        </w:rPr>
        <w:t>Escalamiento e integraciones: USD 3,000 a USD 8,000.</w:t>
      </w:r>
    </w:p>
    <w:p>
      <w:pPr>
        <w:spacing w:after="120"/>
      </w:pPr>
      <w:r>
        <w:rPr>
          <w:rFonts w:ascii="Calibri" w:hAnsi="Calibri"/>
          <w:sz w:val="21"/>
        </w:rPr>
        <w:t>Rango total T4: USD 16,500 a USD 39,000.</w:t>
      </w:r>
    </w:p>
    <w:p>
      <w:pPr>
        <w:pStyle w:val="Heading1"/>
      </w:pPr>
      <w:r>
        <w:t>3. Lectura presupuestal anual referencial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Escenario</w:t>
            </w:r>
          </w:p>
        </w:tc>
        <w:tc>
          <w:tcPr>
            <w:tcW w:type="dxa" w:w="4968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Rango anual estimado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Conservador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USD 44,130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Medio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USD 74,000 a USD 92,000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Expandido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USD 103,050</w:t>
            </w:r>
          </w:p>
        </w:tc>
      </w:tr>
    </w:tbl>
    <w:p/>
    <w:p>
      <w:pPr>
        <w:pStyle w:val="Heading1"/>
      </w:pPr>
      <w:r>
        <w:t>4. Equipos y capacidades requeridas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Equipo</w:t>
            </w:r>
          </w:p>
        </w:tc>
        <w:tc>
          <w:tcPr>
            <w:tcW w:type="dxa" w:w="4968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Rol en el programa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Arquitectura TI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Gobierno, vendor selection, referencia tecnica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Desarrollo JS/React/Python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Integracion con aplicaciones y copilotos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DevOps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CI/CD, gateway, seguridad, observabilidad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Datos / IA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RAG, embeddings, entrenamiento y evaluacion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Operaciones mineras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Validacion funcional y casos de uso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Seguridad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Politicas, auditoria y control de acceso</w:t>
            </w:r>
          </w:p>
        </w:tc>
      </w:tr>
    </w:tbl>
    <w:p/>
    <w:p>
      <w:pPr>
        <w:pStyle w:val="Heading1"/>
      </w:pPr>
      <w:r>
        <w:t>5. Recomendacion final</w:t>
      </w:r>
    </w:p>
    <w:p>
      <w:pPr>
        <w:spacing w:after="120"/>
      </w:pPr>
      <w:r>
        <w:rPr>
          <w:rFonts w:ascii="Calibri" w:hAnsi="Calibri"/>
          <w:sz w:val="21"/>
        </w:rPr>
        <w:t>El roadmap debe aprobarse como un programa de modernizacion gradual, no como compra aislada de licencias. La ruta correcta es empezar por productividad y gobierno, luego document AI y asistentes, y finalmente evolucionar hacia modelos predictivos propios para industria minera.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C6866"/>
        <w:sz w:val="17"/>
      </w:rPr>
      <w:t>AURIXA 2026 - Documento de presentacion ejecutiva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3D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C686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E3D5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3D5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  <w:sz w:val="19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WBullet">
    <w:name w:val="SOW Bullet"/>
    <w:basedOn w:val="Normal"/>
    <w:rPr>
      <w:rFonts w:ascii="Calibri" w:hAnsi="Calibr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