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 title="Marca NorteP Pesquisa" descr="Símbolo NorteP em púrpura e ouro: bússola, monograma NP, pessoas e d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ep-icon-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Manual de Formação e Operação de Campo</w:t>
      </w:r>
    </w:p>
    <w:p>
      <w:pPr>
        <w:pStyle w:val="Subtitle"/>
        <w:jc w:val="center"/>
      </w:pPr>
      <w:r>
        <w:t>Método M.I.S.T. reformulado para pesquisa, escuta territorial e mobilização ética</w:t>
      </w:r>
    </w:p>
    <w:p>
      <w:pPr>
        <w:jc w:val="center"/>
      </w:pPr>
      <w:r>
        <w:rPr>
          <w:b/>
          <w:color w:val="6A646A"/>
          <w:sz w:val="20"/>
        </w:rPr>
        <w:t>Versão 2026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Uso interno</w:t>
              <w:br/>
            </w:r>
            <w:r>
              <w:rPr>
                <w:color w:val="261019"/>
              </w:rPr>
              <w:t>Material de formação e operação da equipe NorteP. Não contém senhas, chaves ou dados pessoais de entrevistados.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Finalidade do manual</w:t>
      </w:r>
    </w:p>
    <w:p>
      <w:r>
        <w:t>Este manual transforma os materiais de agente mobilizador, supervisor e M.I.S.T. em um protocolo único para a NorteP. Ele orienta a equipe a ouvir pessoas, registrar dados confiáveis, proteger a autonomia do entrevistado e transformar a coleta em informação útil.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Princípio central</w:t>
              <w:br/>
            </w:r>
            <w:r>
              <w:rPr>
                <w:color w:val="261019"/>
              </w:rPr>
              <w:t>A confiança vale mais do que uma resposta. Ninguém deve ser pressionado, enganado, constrangido ou levado a acreditar que um benefício depende da participação.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O M.I.S.T. na operação NorteP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58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316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74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Entrega prática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M — Mapear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Definir território, público, horários e metas sem classificar pessoas por vulnerabilidade.</w:t>
            </w:r>
          </w:p>
        </w:tc>
        <w:tc>
          <w:tcPr>
            <w:tcW w:type="dxa" w:w="374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Plano de campo e cobertura.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I — Investigar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Ouvir com neutralidade, registrar respostas e ocorrências sem completar pelo entrevistado.</w:t>
            </w:r>
          </w:p>
        </w:tc>
        <w:tc>
          <w:tcPr>
            <w:tcW w:type="dxa" w:w="374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Entrevistas e relatos íntegros.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 — Sistematizar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Conferir sincronização, duração, recusas, qualidade e consentimentos.</w:t>
            </w:r>
          </w:p>
        </w:tc>
        <w:tc>
          <w:tcPr>
            <w:tcW w:type="dxa" w:w="374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Banco de dados auditável.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 — Transformar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Produzir diagnóstico, prioridades e aprendizados; separar fato, interpretação e recomendação.</w:t>
            </w:r>
          </w:p>
        </w:tc>
        <w:tc>
          <w:tcPr>
            <w:tcW w:type="dxa" w:w="374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Relatórios de gestão e pesquisa.</w:t>
            </w:r>
          </w:p>
        </w:tc>
      </w:tr>
    </w:tbl>
    <w:p>
      <w:pPr>
        <w:spacing w:after="0"/>
      </w:pPr>
    </w:p>
    <w:p>
      <w:r>
        <w:t>Os conceitos úteis dos documentos originais — escuta ativa, leitura territorial, treinamento prático, supervisão e consolidação diária — foram preservados. Expressões de confronto, “guerra”, manipulação, gatilhos ocultos ou exploração de vulnerabilidade foram substituídas por linguagem profissional, verificável e ética.</w:t>
      </w:r>
    </w:p>
    <w:p>
      <w:pPr>
        <w:pStyle w:val="Heading1"/>
        <w:keepNext/>
      </w:pPr>
      <w:r>
        <w:t>3. Papéis e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94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396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Responsabilidade principal</w:t>
            </w:r>
          </w:p>
        </w:tc>
        <w:tc>
          <w:tcPr>
            <w:tcW w:type="dxa" w:w="237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Limite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Administradora fundadora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Governança do sistema, criação de administradores, visão integral, auditoria e cofre.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Acesso exclusivo e intransferível.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Administrador secundário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Pesquisas, coordenadores, supervisores, pesquisadores, territórios e relatórios.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Não cria outro administrador.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Coordenador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Gerencia sua cidade/região, supervisores, pesquisadores, pesquisas e desempenho da própria estrutura.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vê equipes alheias.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Supervisor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Acompanha pesquisadores vinculados, treina, corrige qualidade e registra ocorrências.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Não cria coordenadores.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Pesquisador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Aplica apenas pesquisas liberadas, registra respostas, recusas e sincronização.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acessa painel administrativo.</w:t>
            </w:r>
          </w:p>
        </w:tc>
      </w:tr>
      <w:tr>
        <w:tc>
          <w:tcPr>
            <w:tcW w:type="dxa" w:w="194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Observador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Acompanha indicadores agregados autorizados.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Não altera dados nem acessos.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Pesquisa, mobilização e relacionamento não são a mesma coisa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7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36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Abertura correta</w:t>
            </w:r>
          </w:p>
        </w:tc>
        <w:tc>
          <w:tcPr>
            <w:tcW w:type="dxa" w:w="28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Regra</w:t>
            </w:r>
          </w:p>
        </w:tc>
      </w:tr>
      <w:tr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Pesquisa quantitativa/qualitativa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“Estamos ouvindo pessoas sobre o bairro e os serviços. Participar é voluntário.”</w:t>
            </w:r>
          </w:p>
        </w:tc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induzir; registrar inclusive respostas desfavoráveis.</w:t>
            </w:r>
          </w:p>
        </w:tc>
      </w:tr>
      <w:tr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 eleitoral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Informar objetivo, voluntariedade e tratamento agregado de opinião política.</w:t>
            </w:r>
          </w:p>
        </w:tc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Revisão jurídica e metodológica antes da ativação.</w:t>
            </w:r>
          </w:p>
        </w:tc>
      </w:tr>
      <w:tr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Formulário de relacionamento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Informar que o link veio de apoiador/liderança e que contatos são opcionais.</w:t>
            </w:r>
          </w:p>
        </w:tc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Cada uso de contato exige autorização separada.</w:t>
            </w:r>
          </w:p>
        </w:tc>
      </w:tr>
      <w:tr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Mobilização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Dizer claramente quem promove a ação e que não há contratação ou benefício prometido.</w:t>
            </w:r>
          </w:p>
        </w:tc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Convite pode ser recusado sem consequência.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Proteção de dados e consentimento</w:t>
      </w:r>
    </w:p>
    <w:p>
      <w:pPr>
        <w:pStyle w:val="ListBullet"/>
      </w:pPr>
      <w:r>
        <w:t>O entrevistado participa sem login, e-mail ou nome.</w:t>
      </w:r>
    </w:p>
    <w:p>
      <w:pPr>
        <w:pStyle w:val="ListBullet"/>
      </w:pPr>
      <w:r>
        <w:t>Contato só é solicitado no final e apenas se a pessoa escolher receber resultados, conteúdos ou convites.</w:t>
      </w:r>
    </w:p>
    <w:p>
      <w:pPr>
        <w:pStyle w:val="ListBullet"/>
      </w:pPr>
      <w:r>
        <w:t>Nome, WhatsApp e e-mail ficam separados dos resultados comuns, dentro do cofre autorizado.</w:t>
      </w:r>
    </w:p>
    <w:p>
      <w:pPr>
        <w:pStyle w:val="ListBullet"/>
      </w:pPr>
      <w:r>
        <w:t>Opinião política é dado pessoal sensível: minimize a coleta, limite o acesso e analise de forma agrupada.</w:t>
      </w:r>
    </w:p>
    <w:p>
      <w:pPr>
        <w:pStyle w:val="ListBullet"/>
      </w:pPr>
      <w:r>
        <w:t>Não fotografe documento, tela ou pessoa; não copie contatos do celular; não compartilhe planilhas por WhatsApp.</w:t>
      </w:r>
    </w:p>
    <w:p>
      <w:pPr>
        <w:pStyle w:val="ListBullet"/>
      </w:pPr>
      <w:r>
        <w:t>Localização informada e local da coleta devem ser campos distintos. Geolocalização do aparelho depende de autorização específica.</w:t>
      </w:r>
    </w:p>
    <w:p>
      <w:pPr>
        <w:pStyle w:val="ListBullet"/>
      </w:pPr>
      <w:r>
        <w:t>A pessoa pode interromper a entrevista e pedir retirada de contato pelo canal institucional.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4B1535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FFFFFF"/>
              </w:rPr>
              <w:t>Canal institucional</w:t>
              <w:br/>
            </w:r>
            <w:r>
              <w:rPr>
                <w:color w:val="FFFFFF"/>
              </w:rPr>
              <w:t>Dúvidas ou pedidos sobre dados: pesquisadecamponortep@gmail.com. A coordenação deve registrar e encaminhar solicitações de acesso, correção ou retirada.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Preparação antes de sair</w:t>
      </w:r>
    </w:p>
    <w:p>
      <w:r>
        <w:rPr>
          <w:b/>
          <w:color w:val="B78A2E"/>
        </w:rPr>
        <w:t xml:space="preserve">☐  </w:t>
      </w:r>
      <w:r>
        <w:t>Celular carregado, navegador atualizado e aplicativo instalado.</w:t>
      </w:r>
    </w:p>
    <w:p>
      <w:r>
        <w:rPr>
          <w:b/>
          <w:color w:val="B78A2E"/>
        </w:rPr>
        <w:t xml:space="preserve">☐  </w:t>
      </w:r>
      <w:r>
        <w:t>Login testado com internet; pesquisa correta liberada e aberta uma vez para cache.</w:t>
      </w:r>
    </w:p>
    <w:p>
      <w:r>
        <w:rPr>
          <w:b/>
          <w:color w:val="B78A2E"/>
        </w:rPr>
        <w:t xml:space="preserve">☐  </w:t>
      </w:r>
      <w:r>
        <w:t>Tema claro/noturno e tamanho da fonte ajustados.</w:t>
      </w:r>
    </w:p>
    <w:p>
      <w:r>
        <w:rPr>
          <w:b/>
          <w:color w:val="B78A2E"/>
        </w:rPr>
        <w:t xml:space="preserve">☐  </w:t>
      </w:r>
      <w:r>
        <w:t>Território, horário, meta e ponto de apoio confirmados.</w:t>
      </w:r>
    </w:p>
    <w:p>
      <w:r>
        <w:rPr>
          <w:b/>
          <w:color w:val="B78A2E"/>
        </w:rPr>
        <w:t xml:space="preserve">☐  </w:t>
      </w:r>
      <w:r>
        <w:t>Crachá e identificação disponíveis; roupa adequada e postura respeitosa.</w:t>
      </w:r>
    </w:p>
    <w:p>
      <w:r>
        <w:rPr>
          <w:b/>
          <w:color w:val="B78A2E"/>
        </w:rPr>
        <w:t xml:space="preserve">☐  </w:t>
      </w:r>
      <w:r>
        <w:t>Rota segura, contatos do supervisor e protocolo de emergência conhecidos.</w:t>
      </w:r>
    </w:p>
    <w:p>
      <w:r>
        <w:rPr>
          <w:b/>
          <w:color w:val="B78A2E"/>
        </w:rPr>
        <w:t xml:space="preserve">☐  </w:t>
      </w:r>
      <w:r>
        <w:t>Nenhum dado pessoal armazenado fora do NorteP.</w:t>
      </w:r>
    </w:p>
    <w:p>
      <w:pPr>
        <w:pStyle w:val="Heading1"/>
        <w:keepNext/>
      </w:pPr>
      <w:r>
        <w:t>7. Abertura humana da entrevista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2395"/>
            <w:shd w:fill="4B1535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1. Cumprimente</w:t>
              <w:br/>
            </w:r>
            <w:r>
              <w:rPr>
                <w:color w:val="FFFFFF"/>
                <w:sz w:val="17"/>
              </w:rPr>
              <w:t>Tom natural, distância respeitosa.</w:t>
            </w:r>
          </w:p>
        </w:tc>
        <w:tc>
          <w:tcPr>
            <w:tcW w:type="dxa" w:w="2395"/>
            <w:shd w:fill="B78A2E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261019"/>
              </w:rPr>
              <w:t>2. Identifique-se</w:t>
              <w:br/>
            </w:r>
            <w:r>
              <w:rPr>
                <w:color w:val="261019"/>
                <w:sz w:val="17"/>
              </w:rPr>
              <w:t>Nome e NorteP Pesquisa.</w:t>
            </w:r>
          </w:p>
        </w:tc>
        <w:tc>
          <w:tcPr>
            <w:tcW w:type="dxa" w:w="2395"/>
            <w:shd w:fill="4B1535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3. Explique</w:t>
              <w:br/>
            </w:r>
            <w:r>
              <w:rPr>
                <w:color w:val="FFFFFF"/>
                <w:sz w:val="17"/>
              </w:rPr>
              <w:t>Tema, duração e uso agrupado.</w:t>
            </w:r>
          </w:p>
        </w:tc>
        <w:tc>
          <w:tcPr>
            <w:tcW w:type="dxa" w:w="2395"/>
            <w:shd w:fill="B78A2E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261019"/>
              </w:rPr>
              <w:t>4. Peça consentimento</w:t>
              <w:br/>
            </w:r>
            <w:r>
              <w:rPr>
                <w:color w:val="261019"/>
                <w:sz w:val="17"/>
              </w:rPr>
              <w:t>Aceite sim ou não sem insistir.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DCEBDD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37684D"/>
              </w:rPr>
              <w:t>Roteiro sugerido</w:t>
              <w:br/>
            </w:r>
            <w:r>
              <w:rPr>
                <w:color w:val="37684D"/>
              </w:rPr>
              <w:t>“Bom dia/boa tarde. Meu nome é [nome] e faço parte da NorteP Pesquisa. Estamos ouvindo pessoas sobre [tema]. Leva cerca de [tempo] minutos. Participar é voluntário, você pode não responder ou parar quando quiser. Posso começar?”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 Como criar vínculo sem manipular</w:t>
      </w:r>
    </w:p>
    <w:p>
      <w:pPr>
        <w:pStyle w:val="ListBullet"/>
      </w:pPr>
      <w:r>
        <w:t>Ouça até o fim antes de tocar na tela.</w:t>
      </w:r>
    </w:p>
    <w:p>
      <w:pPr>
        <w:pStyle w:val="ListBullet"/>
      </w:pPr>
      <w:r>
        <w:t>Use o nome somente quando a pessoa o tiver informado voluntariamente.</w:t>
      </w:r>
    </w:p>
    <w:p>
      <w:pPr>
        <w:pStyle w:val="ListBullet"/>
      </w:pPr>
      <w:r>
        <w:t>Confirme entendimento: “Entendi corretamente que sua prioridade é…?”</w:t>
      </w:r>
    </w:p>
    <w:p>
      <w:pPr>
        <w:pStyle w:val="ListBullet"/>
      </w:pPr>
      <w:r>
        <w:t>Ajuste o ritmo da fala, mas não imite gestos, sotaque ou emoção.</w:t>
      </w:r>
    </w:p>
    <w:p>
      <w:pPr>
        <w:pStyle w:val="ListBullet"/>
      </w:pPr>
      <w:r>
        <w:t>Não invente prova social, autoridade, urgência, escassez ou promessa.</w:t>
      </w:r>
    </w:p>
    <w:p>
      <w:pPr>
        <w:pStyle w:val="ListBullet"/>
      </w:pPr>
      <w:r>
        <w:t>Não corrija opinião política nem tente “ganhar” a conversa.</w:t>
      </w:r>
    </w:p>
    <w:p>
      <w:pPr>
        <w:pStyle w:val="ListBullet"/>
      </w:pPr>
      <w:r>
        <w:t>Se a resposta for crítica, agradeça e registre com o mesmo cuidado.</w:t>
      </w:r>
    </w:p>
    <w:p>
      <w:pPr>
        <w:pStyle w:val="Heading2"/>
        <w:keepNext/>
      </w:pPr>
      <w:r>
        <w:t>8.1 Método ACOLHER para uma conversa respeitosa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29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Passo</w:t>
            </w:r>
          </w:p>
        </w:tc>
        <w:tc>
          <w:tcPr>
            <w:tcW w:type="dxa" w:w="432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Comportamento esperado</w:t>
            </w:r>
          </w:p>
        </w:tc>
        <w:tc>
          <w:tcPr>
            <w:tcW w:type="dxa" w:w="273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Evite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 — Aproximar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Cumprimente, mantenha distância confortável e observe se é um bom momento.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Bloquear passagem ou tocar na pessoa.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 — Contextualizar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Diga quem é, qual é o tema, a duração e para que os dados serão usados.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Começar perguntando opinião política sem apresentação.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O — Ouvir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Dê tempo para a resposta e aceite silêncio, dúvida ou crítica.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Completar a frase ou interromper.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L — Ler com fidelidade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Leia pergunta e alternativas conforme o questionário.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Trocar palavras para obter determinada resposta.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H — Humanizar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Reconheça a fala sem concordar nem discordar: “Obrigado por explicar”.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Debater, corrigir ou prometer solução.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 — Encerrar com respeito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Agradeça, explique o próximo passo e confirme contato somente se autorizado.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Insistir em apoio, conteúdo ou compartilhamento.</w:t>
            </w:r>
          </w:p>
        </w:tc>
      </w:tr>
      <w:tr>
        <w:tc>
          <w:tcPr>
            <w:tcW w:type="dxa" w:w="129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 — Registrar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Salve resposta, local, recusa ou ocorrência de forma fiel.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Interpretar ou esconder resposta desfavorável.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8.2 Formas de começar o diálogo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90"/>
        <w:gridCol w:w="4790"/>
      </w:tblGrid>
      <w:tr>
        <w:trPr>
          <w:tblHeader w:val="true"/>
        </w:trPr>
        <w:tc>
          <w:tcPr>
            <w:tcW w:type="dxa" w:w="223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612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Exemplo de abertura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Porta ou residência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“Boa tarde. Sou [nome], da NorteP Pesquisa. Estamos ouvindo moradores sobre [tema]. A participação é voluntária e dura cerca de [tempo]. Este é um bom momento?”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Praça, rua ou comércio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“Olá. Posso explicar em 20 segundos uma pesquisa que estamos fazendo nesta região? Depois você decide se quer participar.”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Pessoa com pressa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“Entendo. Posso registrar que agora não é um bom momento ou você prefere receber apenas o contato institucional?”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Pessoa desconfiada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“É correto conferir antes de participar. Posso mostrar minha identificação e explicar como seus dados são protegidos. Você não precisa informar nome.”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Pessoa crítica ou insatisfeita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“Sua crítica também é importante para a pesquisa. Vou registrar com as suas palavras, sem discutir ou alterar.”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Pessoa que pergunta sua opinião</w:t>
            </w:r>
          </w:p>
        </w:tc>
        <w:tc>
          <w:tcPr>
            <w:tcW w:type="dxa" w:w="61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“Para não influenciar sua resposta, durante a entrevista eu não apresento minha opinião. Quero compreender a sua.”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Aprofundamento permitido em respostas abertas</w:t>
      </w:r>
    </w:p>
    <w:p>
      <w:pPr>
        <w:pStyle w:val="ListBullet"/>
      </w:pPr>
      <w:r>
        <w:t>“Você poderia explicar um pouco mais?”</w:t>
      </w:r>
    </w:p>
    <w:p>
      <w:pPr>
        <w:pStyle w:val="ListBullet"/>
      </w:pPr>
      <w:r>
        <w:t>“O que faz esse tema ser importante para você?”</w:t>
      </w:r>
    </w:p>
    <w:p>
      <w:pPr>
        <w:pStyle w:val="ListBullet"/>
      </w:pPr>
      <w:r>
        <w:t>“Pode dar um exemplo, sem informar nomes ou dados pessoais?”</w:t>
      </w:r>
    </w:p>
    <w:p>
      <w:pPr>
        <w:pStyle w:val="ListBullet"/>
      </w:pPr>
      <w:r>
        <w:t>“Entendi corretamente que o principal ponto é [resumo curto]?”</w:t>
      </w:r>
    </w:p>
    <w:p>
      <w:pPr>
        <w:pStyle w:val="ListBullet"/>
      </w:pPr>
      <w:r>
        <w:t>Use essas frases somente quando a pergunta permitir aprofundamento. Nunca apresente uma alternativa escondida dentro da pergunta.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Vínculo não é convencimento</w:t>
              <w:br/>
            </w:r>
            <w:r>
              <w:rPr>
                <w:color w:val="261019"/>
              </w:rPr>
              <w:t>Na pesquisa, vínculo significa segurança, clareza e respeito. A qualidade aumenta quando a pessoa se sente ouvida, não quando é persuadida a concordar com o pesquisador.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Aplicação correta do questionário</w:t>
      </w:r>
    </w:p>
    <w:p>
      <w:pPr>
        <w:pStyle w:val="ListNumber"/>
      </w:pPr>
      <w:r>
        <w:t>Leia a pergunta como está escrita. Só explique o termo quando a instrução permitir.</w:t>
      </w:r>
    </w:p>
    <w:p>
      <w:pPr>
        <w:pStyle w:val="ListNumber"/>
      </w:pPr>
      <w:r>
        <w:t>Em pergunta espontânea, não leia nomes ou alternativas.</w:t>
      </w:r>
    </w:p>
    <w:p>
      <w:pPr>
        <w:pStyle w:val="ListNumber"/>
      </w:pPr>
      <w:r>
        <w:t>Em escolha única, marque uma resposta; em múltipla escolha, respeite o limite exibido.</w:t>
      </w:r>
    </w:p>
    <w:p>
      <w:pPr>
        <w:pStyle w:val="ListNumber"/>
      </w:pPr>
      <w:r>
        <w:t>Use “prefere não responder”, “não sabe” ou equivalente; nunca invente resposta para avançar.</w:t>
      </w:r>
    </w:p>
    <w:p>
      <w:pPr>
        <w:pStyle w:val="ListNumber"/>
      </w:pPr>
      <w:r>
        <w:t>Em texto aberto, registre a ideia completa. Uma letra isolada, texto sem sentido ou comentário do pesquisador não substitui a resposta.</w:t>
      </w:r>
    </w:p>
    <w:p>
      <w:pPr>
        <w:pStyle w:val="ListNumber"/>
      </w:pPr>
      <w:r>
        <w:t>Use “manifestação espontânea” somente para algo dito sem pergunta e sem interpretação.</w:t>
      </w:r>
    </w:p>
    <w:p>
      <w:pPr>
        <w:pStyle w:val="ListNumber"/>
      </w:pPr>
      <w:r>
        <w:t>Revise respostas obrigatórias antes de concluir.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Integridade da entrevista</w:t>
              <w:br/>
            </w:r>
            <w:r>
              <w:rPr>
                <w:color w:val="261019"/>
              </w:rPr>
              <w:t>A NorteP pode sinalizar duração incompatível, repetição de respostas, texto sem sentido, volume incomum ou sequência improvável. O alerta pede revisão; não é condenação automática do pesquisador.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Recusa, interrupção e ocorrência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02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Ação no aplicativo</w:t>
            </w:r>
          </w:p>
        </w:tc>
        <w:tc>
          <w:tcPr>
            <w:tcW w:type="dxa" w:w="345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Conduta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quer participar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Registrar recusa e motivo quando informado.</w:t>
            </w:r>
          </w:p>
        </w:tc>
        <w:tc>
          <w:tcPr>
            <w:tcW w:type="dxa" w:w="345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Agradecer; não insistir.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Precisa parar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Registrar entrevista interrompida.</w:t>
            </w:r>
          </w:p>
        </w:tc>
        <w:tc>
          <w:tcPr>
            <w:tcW w:type="dxa" w:w="345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Preservar o rascunho quando apropriado.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Erro técnico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Salvar rascunho; registrar ocorrência.</w:t>
            </w:r>
          </w:p>
        </w:tc>
        <w:tc>
          <w:tcPr>
            <w:tcW w:type="dxa" w:w="345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repetir respostas de memória.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Agressão, ameaça ou violência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Registrar ocorrência com palavras-chave; alerta sincroniza quando houver sinal.</w:t>
            </w:r>
          </w:p>
        </w:tc>
        <w:tc>
          <w:tcPr>
            <w:tcW w:type="dxa" w:w="345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Sair do local e priorizar segurança.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Pedido de retirada de dados</w:t>
            </w:r>
          </w:p>
        </w:tc>
        <w:tc>
          <w:tcPr>
            <w:tcW w:type="dxa" w:w="30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Encaminhar ao canal institucional.</w:t>
            </w:r>
          </w:p>
        </w:tc>
        <w:tc>
          <w:tcPr>
            <w:tcW w:type="dxa" w:w="345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prometer prazo que não controla.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Trabalho sem internet</w:t>
      </w:r>
    </w:p>
    <w:p>
      <w:pPr>
        <w:pStyle w:val="ListNumber"/>
      </w:pPr>
      <w:r>
        <w:t>Antes de ir a campo, entre com internet e abra a pesquisa liberada.</w:t>
      </w:r>
    </w:p>
    <w:p>
      <w:pPr>
        <w:pStyle w:val="ListNumber"/>
      </w:pPr>
      <w:r>
        <w:t>Durante a coleta, acompanhe o aviso “salva no aparelho”.</w:t>
      </w:r>
    </w:p>
    <w:p>
      <w:pPr>
        <w:pStyle w:val="ListNumber"/>
      </w:pPr>
      <w:r>
        <w:t>Se fechar a página, use “continuar” para retomar o rascunho.</w:t>
      </w:r>
    </w:p>
    <w:p>
      <w:pPr>
        <w:pStyle w:val="ListNumber"/>
      </w:pPr>
      <w:r>
        <w:t>Não limpe dados do navegador, não desinstale o app e não troque de navegador com pendências.</w:t>
      </w:r>
    </w:p>
    <w:p>
      <w:pPr>
        <w:pStyle w:val="ListNumber"/>
      </w:pPr>
      <w:r>
        <w:t>Ao recuperar sinal, toque em sincronizar e aguarde o contador chegar a zero.</w:t>
      </w:r>
    </w:p>
    <w:p>
      <w:pPr>
        <w:pStyle w:val="ListNumber"/>
      </w:pPr>
      <w:r>
        <w:t>Comunique ao supervisor qualquer pendência que permaneça após nova tentativa.</w:t>
      </w:r>
    </w:p>
    <w:p>
      <w:pPr>
        <w:pStyle w:val="Heading1"/>
        <w:keepNext/>
      </w:pPr>
      <w:r>
        <w:t>12. Supervisão e desenvolvimento da equipe</w:t>
      </w:r>
    </w:p>
    <w:p>
      <w:r>
        <w:t>A supervisão é apoio técnico, não competição. O ranking fica limitado à área da equipe e deve orientar treinamento, cobertura e reconhecimento — nunca exposição ou humilhação.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58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Momento</w:t>
            </w:r>
          </w:p>
        </w:tc>
        <w:tc>
          <w:tcPr>
            <w:tcW w:type="dxa" w:w="316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Prática</w:t>
            </w:r>
          </w:p>
        </w:tc>
        <w:tc>
          <w:tcPr>
            <w:tcW w:type="dxa" w:w="352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Pergunta de feedback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Antes do turno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Roleplay de 10 minutos e checagem do app.</w:t>
            </w:r>
          </w:p>
        </w:tc>
        <w:tc>
          <w:tcPr>
            <w:tcW w:type="dxa" w:w="352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“Qual parte do roteiro ainda está insegura?”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Primeira abordagem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Eu faço: supervisor demonstra.</w:t>
            </w:r>
          </w:p>
        </w:tc>
        <w:tc>
          <w:tcPr>
            <w:tcW w:type="dxa" w:w="352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“O que você percebeu na abertura?”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Segunda abordagem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Nós fazemos: apoio próximo.</w:t>
            </w:r>
          </w:p>
        </w:tc>
        <w:tc>
          <w:tcPr>
            <w:tcW w:type="dxa" w:w="352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“Onde posso ajudar sem assumir sua fala?”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Terceira abordagem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Você faz: observação discreta.</w:t>
            </w:r>
          </w:p>
        </w:tc>
        <w:tc>
          <w:tcPr>
            <w:tcW w:type="dxa" w:w="352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“O que funcionou e o que ajustaremos?”</w:t>
            </w:r>
          </w:p>
        </w:tc>
      </w:tr>
      <w:tr>
        <w:tc>
          <w:tcPr>
            <w:tcW w:type="dxa" w:w="158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Fechamento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Revisar volume, recusas, pendências e qualidade.</w:t>
            </w:r>
          </w:p>
        </w:tc>
        <w:tc>
          <w:tcPr>
            <w:tcW w:type="dxa" w:w="352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“Qual aprendizado deve orientar amanhã?”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Ciclo de treino antes do campo</w:t>
      </w:r>
    </w:p>
    <w:p>
      <w:pPr>
        <w:pStyle w:val="ListNumber"/>
      </w:pPr>
      <w:r>
        <w:t>Demonstração: o supervisor realiza uma abertura completa e explica cada decisão.</w:t>
      </w:r>
    </w:p>
    <w:p>
      <w:pPr>
        <w:pStyle w:val="ListNumber"/>
      </w:pPr>
      <w:r>
        <w:t>Roleplay guiado: dupla alterna entrevistador e entrevistado, incluindo uma recusa e uma dúvida.</w:t>
      </w:r>
    </w:p>
    <w:p>
      <w:pPr>
        <w:pStyle w:val="ListNumber"/>
      </w:pPr>
      <w:r>
        <w:t>Operação do app: iniciar, responder, salvar rascunho, simular queda, retomar e sincronizar.</w:t>
      </w:r>
    </w:p>
    <w:p>
      <w:pPr>
        <w:pStyle w:val="ListNumber"/>
      </w:pPr>
      <w:r>
        <w:t>Situação difícil: praticar crítica, pressa, desconfiança, interrupção e ocorrência de segurança.</w:t>
      </w:r>
    </w:p>
    <w:p>
      <w:pPr>
        <w:pStyle w:val="ListNumber"/>
      </w:pPr>
      <w:r>
        <w:t>Avaliação: usar a rubrica do manual; registrar um ponto forte e um ajuste observável.</w:t>
      </w:r>
    </w:p>
    <w:p>
      <w:pPr>
        <w:pStyle w:val="ListNumber"/>
      </w:pPr>
      <w:r>
        <w:t>Autorização: liberar para campo somente após consentimento correto, fidelidade das perguntas e domínio básico do app.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DCEBDD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37684D"/>
              </w:rPr>
              <w:t>Feedback Fato — Impacto — Ajuste</w:t>
              <w:br/>
            </w:r>
            <w:r>
              <w:rPr>
                <w:color w:val="37684D"/>
              </w:rPr>
              <w:t>Fato: descreva o comportamento observado. Impacto: explique o efeito na qualidade ou segurança. Ajuste: combine uma ação concreta para a próxima abordagem. Evite rótulos como “fraco”, “lento” ou “não leva jeito”.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Indicadores que fazem sentido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324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Cálculo/uso</w:t>
            </w:r>
          </w:p>
        </w:tc>
        <w:tc>
          <w:tcPr>
            <w:tcW w:type="dxa" w:w="324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Cuidado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Entrevistas concluídas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Volume por pessoa, pesquisa e território.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mede qualidade sozinho.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Taxa de adesão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Concluídas ÷ abordagens registradas.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Registrar recusas é obrigatório para o cálculo.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Tempo mediano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Mediana da duração das entrevistas.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Muito rápido ou muito lento pede revisão.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Pendências offline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Itens ainda no aparelho.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Zerar antes do encerramento do turno.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Qualidade textual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Respostas completas e coerentes.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penalizar linguagem simples ou opinião divergente.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Cobertura territorial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Entrevistas por cidade, região e bairro.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Evitar concentração por conveniência.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Ocorrências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Recusas, interrupções e alertas de segurança.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Segurança prevalece sobre meta.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14. Uso científico e relatório do mestrado</w:t>
      </w:r>
    </w:p>
    <w:p>
      <w:pPr>
        <w:pStyle w:val="ListBullet"/>
      </w:pPr>
      <w:r>
        <w:t>Separar operação política, pesquisa acadêmica e relacionamento em bases/finalidades documentadas.</w:t>
      </w:r>
    </w:p>
    <w:p>
      <w:pPr>
        <w:pStyle w:val="ListBullet"/>
      </w:pPr>
      <w:r>
        <w:t>Usar dados pessoais apenas quando houver base legal e consentimento específico; no relatório científico, trabalhar com dados anonimizados.</w:t>
      </w:r>
    </w:p>
    <w:p>
      <w:pPr>
        <w:pStyle w:val="ListBullet"/>
      </w:pPr>
      <w:r>
        <w:t>Registrar instrumento, versão, período, territórios, treinamento, critérios de inclusão e perdas.</w:t>
      </w:r>
    </w:p>
    <w:p>
      <w:pPr>
        <w:pStyle w:val="ListBullet"/>
      </w:pPr>
      <w:r>
        <w:t>Não inferir causalidade a partir de comparação simples entre desempenho e intenção de voto.</w:t>
      </w:r>
    </w:p>
    <w:p>
      <w:pPr>
        <w:pStyle w:val="ListBullet"/>
      </w:pPr>
      <w:r>
        <w:t>Não direcionar intervenção a pessoas classificadas como vulneráveis. A pesquisa pode estudar contexto e boas práticas, não explorar fragilidades.</w:t>
      </w:r>
    </w:p>
    <w:p>
      <w:pPr>
        <w:pStyle w:val="ListBullet"/>
      </w:pPr>
      <w:r>
        <w:t>Submeter o projeto ao comitê de ética quando aplicável e revisar regras eleitorais antes de ativar pesquisas eleitorais.</w:t>
      </w:r>
    </w:p>
    <w:p>
      <w:pPr>
        <w:pStyle w:val="ListBullet"/>
      </w:pPr>
      <w:r>
        <w:t>Documentar limitações, recusas, viés de seleção, efeito do entrevistador e mudanças do questionário.</w:t>
      </w:r>
    </w:p>
    <w:p>
      <w:pPr>
        <w:pStyle w:val="Heading1"/>
        <w:keepNext/>
      </w:pPr>
      <w:r>
        <w:t>15. Avaliação prática do pesquisador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8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10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Peso</w:t>
            </w:r>
          </w:p>
        </w:tc>
        <w:tc>
          <w:tcPr>
            <w:tcW w:type="dxa" w:w="432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Evidência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Consentimento e respeito</w:t>
            </w:r>
          </w:p>
        </w:tc>
        <w:tc>
          <w:tcPr>
            <w:tcW w:type="dxa" w:w="10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25%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Abertura clara, aceita recusa, não pressiona.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Fidelidade ao questionário</w:t>
            </w:r>
          </w:p>
        </w:tc>
        <w:tc>
          <w:tcPr>
            <w:tcW w:type="dxa" w:w="10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25%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Lê corretamente e não induz.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Qualidade do registro</w:t>
            </w:r>
          </w:p>
        </w:tc>
        <w:tc>
          <w:tcPr>
            <w:tcW w:type="dxa" w:w="10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20%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Texto coerente, local correto, ocorrências registradas.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Operação do aplicativo</w:t>
            </w:r>
          </w:p>
        </w:tc>
        <w:tc>
          <w:tcPr>
            <w:tcW w:type="dxa" w:w="10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15%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Rascunho, offline e sincronização usados corretamente.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Postura e segurança</w:t>
            </w:r>
          </w:p>
        </w:tc>
        <w:tc>
          <w:tcPr>
            <w:tcW w:type="dxa" w:w="10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15%</w:t>
            </w:r>
          </w:p>
        </w:tc>
        <w:tc>
          <w:tcPr>
            <w:tcW w:type="dxa" w:w="432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Identificação, autocontrole e acionamento do supervisor.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F5DEE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9C3D47"/>
              </w:rPr>
              <w:t>Critério de aprovação sugerido</w:t>
              <w:br/>
            </w:r>
            <w:r>
              <w:rPr>
                <w:color w:val="9C3D47"/>
              </w:rPr>
              <w:t>Roleplay aprovado + entrevista acompanhada + nota mínima de 80%. Em falha de consentimento, falsificação ou segurança, interromper a coleta e reciclar antes do retorno.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15.1 Escala de desempenho para supervisão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46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187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Decisão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4 — Consistente</w:t>
            </w:r>
          </w:p>
        </w:tc>
        <w:tc>
          <w:tcPr>
            <w:tcW w:type="dxa" w:w="46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Executa corretamente sem ajuda e explica o procedimento.</w:t>
            </w:r>
          </w:p>
        </w:tc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Pode atuar e apoiar colegas.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3 — Adequado</w:t>
            </w:r>
          </w:p>
        </w:tc>
        <w:tc>
          <w:tcPr>
            <w:tcW w:type="dxa" w:w="46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Executa com pequena correção que não compromete a entrevista.</w:t>
            </w:r>
          </w:p>
        </w:tc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Pode atuar com acompanhamento normal.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2 — Em desenvolvimento</w:t>
            </w:r>
          </w:p>
        </w:tc>
        <w:tc>
          <w:tcPr>
            <w:tcW w:type="dxa" w:w="46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Repete erro operacional ou de roteiro, mas aceita correção.</w:t>
            </w:r>
          </w:p>
        </w:tc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Treino dirigido e nova observação.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1 — Crítico</w:t>
            </w:r>
          </w:p>
        </w:tc>
        <w:tc>
          <w:tcPr>
            <w:tcW w:type="dxa" w:w="46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Compromete consentimento, fidelidade, segurança ou dados.</w:t>
            </w:r>
          </w:p>
        </w:tc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Suspender coleta e reciclar.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0 — Inaceitável</w:t>
            </w:r>
          </w:p>
        </w:tc>
        <w:tc>
          <w:tcPr>
            <w:tcW w:type="dxa" w:w="46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Falsificação, pressão, discriminação, ocultação de ocorrência ou compartilhamento de dados.</w:t>
            </w:r>
          </w:p>
        </w:tc>
        <w:tc>
          <w:tcPr>
            <w:tcW w:type="dxa" w:w="18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Bloquear acesso e abrir apuração.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16. Cartão de bolso</w:t>
      </w:r>
    </w:p>
    <w:p>
      <w:r>
        <w:rPr>
          <w:b/>
          <w:color w:val="B78A2E"/>
        </w:rPr>
        <w:t xml:space="preserve">☐  </w:t>
      </w:r>
      <w:r>
        <w:t>Eu me identifiquei e expliquei a finalidade?</w:t>
      </w:r>
    </w:p>
    <w:p>
      <w:r>
        <w:rPr>
          <w:b/>
          <w:color w:val="B78A2E"/>
        </w:rPr>
        <w:t xml:space="preserve">☐  </w:t>
      </w:r>
      <w:r>
        <w:t>A pessoa aceitou livremente?</w:t>
      </w:r>
    </w:p>
    <w:p>
      <w:r>
        <w:rPr>
          <w:b/>
          <w:color w:val="B78A2E"/>
        </w:rPr>
        <w:t xml:space="preserve">☐  </w:t>
      </w:r>
      <w:r>
        <w:t>Li sem induzir?</w:t>
      </w:r>
    </w:p>
    <w:p>
      <w:r>
        <w:rPr>
          <w:b/>
          <w:color w:val="B78A2E"/>
        </w:rPr>
        <w:t xml:space="preserve">☐  </w:t>
      </w:r>
      <w:r>
        <w:t>Registrei local da coleta e residência separadamente?</w:t>
      </w:r>
    </w:p>
    <w:p>
      <w:r>
        <w:rPr>
          <w:b/>
          <w:color w:val="B78A2E"/>
        </w:rPr>
        <w:t xml:space="preserve">☐  </w:t>
      </w:r>
      <w:r>
        <w:t>Usei “não sabe/prefere não responder” quando necessário?</w:t>
      </w:r>
    </w:p>
    <w:p>
      <w:r>
        <w:rPr>
          <w:b/>
          <w:color w:val="B78A2E"/>
        </w:rPr>
        <w:t xml:space="preserve">☐  </w:t>
      </w:r>
      <w:r>
        <w:t>Registrei recusa, interrupção ou ocorrência?</w:t>
      </w:r>
    </w:p>
    <w:p>
      <w:r>
        <w:rPr>
          <w:b/>
          <w:color w:val="B78A2E"/>
        </w:rPr>
        <w:t xml:space="preserve">☐  </w:t>
      </w:r>
      <w:r>
        <w:t>O rascunho está salvo e a fila está sincronizada?</w:t>
      </w:r>
    </w:p>
    <w:p>
      <w:r>
        <w:rPr>
          <w:b/>
          <w:color w:val="B78A2E"/>
        </w:rPr>
        <w:t xml:space="preserve">☐  </w:t>
      </w:r>
      <w:r>
        <w:t>Nenhum dado pessoal ficou fora do cofre NorteP?</w:t>
      </w:r>
    </w:p>
    <w:p>
      <w:pPr>
        <w:pStyle w:val="Heading1"/>
        <w:keepNext/>
      </w:pPr>
      <w:r>
        <w:t>17. Plano de aula sugerido para pesquisadores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237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00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Duração</w:t>
            </w:r>
          </w:p>
        </w:tc>
        <w:tc>
          <w:tcPr>
            <w:tcW w:type="dxa" w:w="316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Evidência de aprendizagem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1. Ética, consentimento e LGPD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45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Explicação, exemplos e análise de situações.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Distingue pesquisa, relacionamento e mobilização.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2. Abordagem e vínculo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60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Roteiros ACOLHER e roleplays.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Realiza abertura clara e aceita recusa.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3. Questionário e registro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60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Perguntas fechadas, abertas e espontâneas.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induz e registra resposta completa.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4. Aplicativo NorteP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60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Cadastro, pesquisa, rascunho, offline e sincronização.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Conclui uma entrevista de teste sem ajuda.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5. Segurança e ocorrências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30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Simulação de conflito, erro e interrupção.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Prioriza saída segura e registra ocorrência.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6. Avaliação prática</w:t>
            </w:r>
          </w:p>
        </w:tc>
        <w:tc>
          <w:tcPr>
            <w:tcW w:type="dxa" w:w="100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45 min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Entrevista observada e feedback.</w:t>
            </w:r>
          </w:p>
        </w:tc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Alcança 80% e não apresenta falha crítica.</w:t>
            </w:r>
          </w:p>
        </w:tc>
      </w:tr>
    </w:tbl>
    <w:p>
      <w:pPr>
        <w:spacing w:after="0"/>
      </w:pPr>
    </w:p>
    <w:p>
      <w:r>
        <w:rPr>
          <w:b/>
          <w:color w:val="B78A2E"/>
        </w:rPr>
        <w:t xml:space="preserve">☐  </w:t>
      </w:r>
      <w:r>
        <w:t>Lista de presença e versão do treinamento registradas.</w:t>
      </w:r>
    </w:p>
    <w:p>
      <w:r>
        <w:rPr>
          <w:b/>
          <w:color w:val="B78A2E"/>
        </w:rPr>
        <w:t xml:space="preserve">☐  </w:t>
      </w:r>
      <w:r>
        <w:t>Cada participante realizou ao menos dois roleplays.</w:t>
      </w:r>
    </w:p>
    <w:p>
      <w:r>
        <w:rPr>
          <w:b/>
          <w:color w:val="B78A2E"/>
        </w:rPr>
        <w:t xml:space="preserve">☐  </w:t>
      </w:r>
      <w:r>
        <w:t>Cada participante concluiu entrevista de teste on-line e offline.</w:t>
      </w:r>
    </w:p>
    <w:p>
      <w:r>
        <w:rPr>
          <w:b/>
          <w:color w:val="B78A2E"/>
        </w:rPr>
        <w:t xml:space="preserve">☐  </w:t>
      </w:r>
      <w:r>
        <w:t>Dúvidas e ajustes do questionário foram documentados antes do campo.</w:t>
      </w:r>
    </w:p>
    <w:p>
      <w:r>
        <w:rPr>
          <w:b/>
          <w:color w:val="B78A2E"/>
        </w:rPr>
        <w:t xml:space="preserve">☐  </w:t>
      </w:r>
      <w:r>
        <w:t>Aprovação, reciclagem ou restrição de acesso foi registrada pelo responsável.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A646A"/>
        <w:sz w:val="16"/>
      </w:rPr>
      <w:t xml:space="preserve">NorteP Pesquisa  •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color="B78A2E"/>
      </w:pBdr>
    </w:pPr>
    <w:r>
      <w:rPr>
        <w:rFonts w:ascii="Aptos" w:hAnsi="Aptos"/>
        <w:b/>
        <w:color w:val="4B1535"/>
        <w:sz w:val="16"/>
      </w:rPr>
      <w:t>NORTEP  •  FORMAÇÃO E OPERAÇÃO DE CAMPO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B1535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B153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B78A2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4B153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 Display" w:hAnsi="Aptos Display"/>
      <w:b/>
      <w:i/>
      <w:iCs/>
      <w:color w:val="B78A2E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Formação e Operação de Campo</dc:subject>
  <dc:creator>NorteP Pesquisa</dc:creator>
  <cp:keywords>NorteP, pesquisa de campo, LGPD, território,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