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EE7" w:rsidRPr="00CF2EE7" w:rsidRDefault="00CF2EE7" w:rsidP="00CF2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  <w:lang w:eastAsia="fr-FR"/>
        </w:rPr>
        <w:t xml:space="preserve">1. Diagramme de séquence — </w:t>
      </w:r>
      <w:r w:rsidRPr="00CF2EE7">
        <w:rPr>
          <w:rFonts w:ascii="Times New Roman" w:eastAsia="Times New Roman" w:hAnsi="Times New Roman" w:cs="Times New Roman"/>
          <w:b/>
          <w:bCs/>
          <w:i/>
          <w:iCs/>
          <w:sz w:val="40"/>
          <w:szCs w:val="36"/>
          <w:u w:val="single"/>
          <w:lang w:eastAsia="fr-FR"/>
        </w:rPr>
        <w:t xml:space="preserve">Exécution d’un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i/>
          <w:iCs/>
          <w:sz w:val="40"/>
          <w:szCs w:val="36"/>
          <w:u w:val="single"/>
          <w:lang w:eastAsia="fr-FR"/>
        </w:rPr>
        <w:t>playbook</w:t>
      </w:r>
      <w:proofErr w:type="spellEnd"/>
      <w:r w:rsidRPr="00CF2EE7">
        <w:rPr>
          <w:rFonts w:ascii="Times New Roman" w:eastAsia="Times New Roman" w:hAnsi="Times New Roman" w:cs="Times New Roman"/>
          <w:b/>
          <w:bCs/>
          <w:i/>
          <w:iCs/>
          <w:sz w:val="40"/>
          <w:szCs w:val="36"/>
          <w:u w:val="single"/>
          <w:lang w:eastAsia="fr-FR"/>
        </w:rPr>
        <w:t xml:space="preserve"> (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i/>
          <w:iCs/>
          <w:sz w:val="40"/>
          <w:szCs w:val="36"/>
          <w:u w:val="single"/>
          <w:lang w:eastAsia="fr-FR"/>
        </w:rPr>
        <w:t>Diagram_sequ_Ex_playbook.svg</w:t>
      </w:r>
      <w:proofErr w:type="spellEnd"/>
      <w:r w:rsidRPr="00CF2EE7">
        <w:rPr>
          <w:rFonts w:ascii="Times New Roman" w:eastAsia="Times New Roman" w:hAnsi="Times New Roman" w:cs="Times New Roman"/>
          <w:b/>
          <w:bCs/>
          <w:i/>
          <w:iCs/>
          <w:sz w:val="40"/>
          <w:szCs w:val="36"/>
          <w:u w:val="single"/>
          <w:lang w:eastAsia="fr-FR"/>
        </w:rPr>
        <w:t>)</w:t>
      </w:r>
    </w:p>
    <w:p w:rsidR="00CF2EE7" w:rsidRPr="00CF2EE7" w:rsidRDefault="00CF2EE7" w:rsidP="00CF2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But du diagramme :</w:t>
      </w:r>
    </w:p>
    <w:p w:rsidR="00CF2EE7" w:rsidRPr="00CF2EE7" w:rsidRDefault="00CF2EE7" w:rsidP="00CF2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Ce diagramme illustre </w:t>
      </w:r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le déroulement de l’exécution d’un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playbook</w:t>
      </w:r>
      <w:proofErr w:type="spellEnd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Ansible</w:t>
      </w:r>
      <w:proofErr w:type="spellEnd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depuis l’interface de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Semaphore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.</w:t>
      </w: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  <w:t>Il montre comment l’utilisateur, l’IHM (</w:t>
      </w:r>
      <w:proofErr w:type="spellStart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Semaphore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) et le </w:t>
      </w:r>
      <w:proofErr w:type="spellStart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backend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interagissent pour lancer et suivre un job d’automatisation.</w:t>
      </w:r>
    </w:p>
    <w:p w:rsidR="00CF2EE7" w:rsidRPr="00CF2EE7" w:rsidRDefault="00CF2EE7" w:rsidP="00CF2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Acteurs principaux :</w:t>
      </w:r>
    </w:p>
    <w:p w:rsidR="00CF2EE7" w:rsidRPr="00CF2EE7" w:rsidRDefault="00CF2EE7" w:rsidP="00CF2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Utilisateur</w:t>
      </w: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déclenche l’action depuis l’interface.</w:t>
      </w:r>
    </w:p>
    <w:p w:rsidR="00CF2EE7" w:rsidRPr="00CF2EE7" w:rsidRDefault="00CF2EE7" w:rsidP="00CF2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IHM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Semaphore</w:t>
      </w:r>
      <w:proofErr w:type="spellEnd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(Front-end)</w:t>
      </w: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interface graphique qui permet d’interagir avec les fonctionnalités.</w:t>
      </w:r>
    </w:p>
    <w:p w:rsidR="00CF2EE7" w:rsidRPr="00CF2EE7" w:rsidRDefault="00CF2EE7" w:rsidP="00CF2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Serveur /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Backend</w:t>
      </w:r>
      <w:proofErr w:type="spellEnd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Semaphore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moteur qui orchestre les tâches et communique avec </w:t>
      </w:r>
      <w:proofErr w:type="spellStart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Ansible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.</w:t>
      </w:r>
    </w:p>
    <w:p w:rsidR="00CF2EE7" w:rsidRPr="00CF2EE7" w:rsidRDefault="00CF2EE7" w:rsidP="00CF2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Ansible</w:t>
      </w:r>
      <w:proofErr w:type="spellEnd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/ Exécution du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playbook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la partie qui réalise concrètement les tâches sur les hôtes cibles.</w:t>
      </w:r>
    </w:p>
    <w:p w:rsidR="00CF2EE7" w:rsidRPr="00CF2EE7" w:rsidRDefault="00CF2EE7" w:rsidP="00CF2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Déroulement simplifié :</w:t>
      </w:r>
    </w:p>
    <w:p w:rsidR="00CF2EE7" w:rsidRPr="00CF2EE7" w:rsidRDefault="00CF2EE7" w:rsidP="00CF2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L’utilisateur choisit un projet et un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playbook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dans l’IHM, puis lance une exécution.</w:t>
      </w:r>
    </w:p>
    <w:p w:rsidR="00CF2EE7" w:rsidRPr="00CF2EE7" w:rsidRDefault="00CF2EE7" w:rsidP="00CF2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L’IHM envoie la requête au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backend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(souvent via </w:t>
      </w: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un </w:t>
      </w: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API REST</w:t>
      </w:r>
      <w:r w:rsidR="003E1BBC">
        <w:rPr>
          <w:rFonts w:ascii="Times New Roman" w:eastAsia="Times New Roman" w:hAnsi="Times New Roman" w:cs="Times New Roman"/>
          <w:sz w:val="28"/>
          <w:szCs w:val="24"/>
          <w:lang w:eastAsia="fr-FR"/>
        </w:rPr>
        <w:t>*</w:t>
      </w: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) pour demander l’exécution.</w:t>
      </w:r>
    </w:p>
    <w:p w:rsidR="00CF2EE7" w:rsidRPr="00CF2EE7" w:rsidRDefault="00CF2EE7" w:rsidP="00CF2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Le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backend</w:t>
      </w:r>
      <w:proofErr w:type="spellEnd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crée un job</w:t>
      </w: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et prépare le contexte (inventaire, identifiants, variables, etc.).</w:t>
      </w:r>
    </w:p>
    <w:p w:rsidR="00CF2EE7" w:rsidRPr="00CF2EE7" w:rsidRDefault="00CF2EE7" w:rsidP="00CF2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Le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backend</w:t>
      </w:r>
      <w:proofErr w:type="spellEnd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déclenche l’exécution du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playbook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à l’aide d’</w:t>
      </w:r>
      <w:proofErr w:type="spellStart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Ansible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.</w:t>
      </w:r>
    </w:p>
    <w:p w:rsidR="00CF2EE7" w:rsidRPr="00CF2EE7" w:rsidRDefault="00CF2EE7" w:rsidP="00CF2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Pendant que le </w:t>
      </w:r>
      <w:proofErr w:type="spellStart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playbook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tourne, </w:t>
      </w:r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le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backend</w:t>
      </w:r>
      <w:proofErr w:type="spellEnd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renvoie périodiquement l’état d’avancement</w:t>
      </w: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à l’IHM (logs, statut, progression).</w:t>
      </w:r>
    </w:p>
    <w:p w:rsidR="00CF2EE7" w:rsidRPr="00CF2EE7" w:rsidRDefault="00CF2EE7" w:rsidP="00CF2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L’IHM met à jour l’affichage</w:t>
      </w: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pour montrer les logs temps réel et le statut (“en cours”, “succès”, “échec”).</w:t>
      </w:r>
    </w:p>
    <w:p w:rsidR="00CF2EE7" w:rsidRPr="00CF2EE7" w:rsidRDefault="00CF2EE7" w:rsidP="00CF2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À la fin, le </w:t>
      </w:r>
      <w:proofErr w:type="spellStart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backend</w:t>
      </w:r>
      <w:proofErr w:type="spellEnd"/>
      <w:r w:rsidRPr="00CF2EE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notifie l’IHM</w:t>
      </w: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que l’exécution est terminée, avec les résultats finaux.</w:t>
      </w:r>
    </w:p>
    <w:p w:rsidR="00CF2EE7" w:rsidRPr="00CF2EE7" w:rsidRDefault="00CF2EE7" w:rsidP="00CF2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  <w:r w:rsidRPr="00CF2EE7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En résumé :</w:t>
      </w:r>
    </w:p>
    <w:p w:rsidR="00CF2EE7" w:rsidRPr="00CF2EE7" w:rsidRDefault="00CF2EE7" w:rsidP="00CF2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Ce diagramme montre un </w:t>
      </w:r>
      <w:r w:rsidRPr="00E06FB9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flux d’exécution typique dans </w:t>
      </w:r>
      <w:proofErr w:type="spellStart"/>
      <w:r w:rsidRPr="00E06FB9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Semaphore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</w:t>
      </w:r>
    </w:p>
    <w:p w:rsidR="00CF2EE7" w:rsidRPr="00CF2EE7" w:rsidRDefault="00CF2EE7" w:rsidP="00CF2E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L’utilisateur → IHM → </w:t>
      </w:r>
      <w:proofErr w:type="spellStart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Backend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→ </w:t>
      </w:r>
      <w:proofErr w:type="spellStart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Ansible</w:t>
      </w:r>
      <w:proofErr w:type="spellEnd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→ retour d’état → affichage résultat.</w:t>
      </w:r>
    </w:p>
    <w:p w:rsidR="00E06FB9" w:rsidRDefault="00CF2EE7" w:rsidP="00CF2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lastRenderedPageBreak/>
        <w:t>C’est une séquence centrée</w:t>
      </w:r>
      <w:bookmarkStart w:id="0" w:name="_GoBack"/>
      <w:bookmarkEnd w:id="0"/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sur </w:t>
      </w:r>
      <w:r w:rsidRPr="00E06FB9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le lancement d’un job</w:t>
      </w: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et la </w:t>
      </w:r>
      <w:r w:rsidRPr="00E06FB9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communication continue entre l’interface et le moteur d’exécution</w:t>
      </w:r>
      <w:r w:rsidRPr="00CF2EE7">
        <w:rPr>
          <w:rFonts w:ascii="Times New Roman" w:eastAsia="Times New Roman" w:hAnsi="Times New Roman" w:cs="Times New Roman"/>
          <w:sz w:val="28"/>
          <w:szCs w:val="24"/>
          <w:lang w:eastAsia="fr-FR"/>
        </w:rPr>
        <w:t>.</w:t>
      </w:r>
    </w:p>
    <w:p w:rsidR="00E06FB9" w:rsidRPr="00CF2EE7" w:rsidRDefault="00E06FB9" w:rsidP="00CF2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fr-FR"/>
        </w:rPr>
      </w:pPr>
      <w:r w:rsidRPr="00E06FB9">
        <w:rPr>
          <w:rFonts w:ascii="Times New Roman" w:eastAsia="Times New Roman" w:hAnsi="Times New Roman" w:cs="Times New Roman"/>
          <w:sz w:val="28"/>
          <w:szCs w:val="24"/>
          <w:lang w:eastAsia="fr-FR"/>
        </w:rPr>
        <w:t>*</w:t>
      </w:r>
      <w:r w:rsidRPr="00E06FB9">
        <w:t xml:space="preserve"> </w:t>
      </w:r>
      <w:r w:rsidRPr="00E06FB9">
        <w:rPr>
          <w:sz w:val="24"/>
        </w:rPr>
        <w:t xml:space="preserve">Une </w:t>
      </w:r>
      <w:r w:rsidRPr="00E06FB9">
        <w:rPr>
          <w:rStyle w:val="lev"/>
          <w:sz w:val="24"/>
        </w:rPr>
        <w:t>API REST</w:t>
      </w:r>
      <w:r w:rsidRPr="00E06FB9">
        <w:rPr>
          <w:sz w:val="24"/>
        </w:rPr>
        <w:t xml:space="preserve"> est un </w:t>
      </w:r>
      <w:r w:rsidRPr="00E06FB9">
        <w:rPr>
          <w:rStyle w:val="lev"/>
          <w:sz w:val="24"/>
        </w:rPr>
        <w:t>pont de communication</w:t>
      </w:r>
      <w:r w:rsidRPr="00E06FB9">
        <w:rPr>
          <w:sz w:val="24"/>
        </w:rPr>
        <w:t xml:space="preserve"> entre différentes parties d’une application.</w:t>
      </w:r>
    </w:p>
    <w:p w:rsidR="008D3C4A" w:rsidRDefault="00C7358E">
      <w:r>
        <w:rPr>
          <w:noProof/>
          <w:lang w:eastAsia="fr-FR"/>
        </w:rPr>
        <w:drawing>
          <wp:inline distT="0" distB="0" distL="0" distR="0">
            <wp:extent cx="6506830" cy="2827525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_sequ_Ex_playbook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728" cy="284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C4A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EE7" w:rsidRDefault="00CF2EE7" w:rsidP="00CF2EE7">
      <w:pPr>
        <w:spacing w:after="0" w:line="240" w:lineRule="auto"/>
      </w:pPr>
      <w:r>
        <w:separator/>
      </w:r>
    </w:p>
  </w:endnote>
  <w:endnote w:type="continuationSeparator" w:id="0">
    <w:p w:rsidR="00CF2EE7" w:rsidRDefault="00CF2EE7" w:rsidP="00CF2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EE7" w:rsidRDefault="00CF2EE7" w:rsidP="00CF2EE7">
      <w:pPr>
        <w:spacing w:after="0" w:line="240" w:lineRule="auto"/>
      </w:pPr>
      <w:r>
        <w:separator/>
      </w:r>
    </w:p>
  </w:footnote>
  <w:footnote w:type="continuationSeparator" w:id="0">
    <w:p w:rsidR="00CF2EE7" w:rsidRDefault="00CF2EE7" w:rsidP="00CF2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2EE7" w:rsidRDefault="00CF2EE7">
    <w:pPr>
      <w:pStyle w:val="En-tte"/>
    </w:pPr>
    <w:r>
      <w:t>MASTANTUONO Ludo</w:t>
    </w:r>
  </w:p>
  <w:p w:rsidR="00CF2EE7" w:rsidRDefault="00CF2EE7">
    <w:pPr>
      <w:pStyle w:val="En-tte"/>
    </w:pPr>
    <w:r>
      <w:t>Service MEO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35B0C"/>
    <w:multiLevelType w:val="multilevel"/>
    <w:tmpl w:val="6BF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E22B7"/>
    <w:multiLevelType w:val="multilevel"/>
    <w:tmpl w:val="D830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EE7"/>
    <w:rsid w:val="003E1BBC"/>
    <w:rsid w:val="0058061A"/>
    <w:rsid w:val="008D3C4A"/>
    <w:rsid w:val="00C7358E"/>
    <w:rsid w:val="00CB70A1"/>
    <w:rsid w:val="00CF2EE7"/>
    <w:rsid w:val="00E0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AC452D-6DDA-4D6F-AAAA-2C930012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F2E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F2E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35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F2EE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F2EE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Accentuation">
    <w:name w:val="Emphasis"/>
    <w:basedOn w:val="Policepardfaut"/>
    <w:uiPriority w:val="20"/>
    <w:qFormat/>
    <w:rsid w:val="00CF2EE7"/>
    <w:rPr>
      <w:i/>
      <w:iCs/>
    </w:rPr>
  </w:style>
  <w:style w:type="character" w:styleId="lev">
    <w:name w:val="Strong"/>
    <w:basedOn w:val="Policepardfaut"/>
    <w:uiPriority w:val="22"/>
    <w:qFormat/>
    <w:rsid w:val="00CF2E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2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CF2E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E7"/>
  </w:style>
  <w:style w:type="paragraph" w:styleId="Pieddepage">
    <w:name w:val="footer"/>
    <w:basedOn w:val="Normal"/>
    <w:link w:val="PieddepageCar"/>
    <w:uiPriority w:val="99"/>
    <w:unhideWhenUsed/>
    <w:rsid w:val="00CF2E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E7"/>
  </w:style>
  <w:style w:type="character" w:customStyle="1" w:styleId="Titre4Car">
    <w:name w:val="Titre 4 Car"/>
    <w:basedOn w:val="Policepardfaut"/>
    <w:link w:val="Titre4"/>
    <w:uiPriority w:val="9"/>
    <w:semiHidden/>
    <w:rsid w:val="00C7358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0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5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25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Cnam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MASTANTUONO LUDO (CTI SAINT-ETIENNE)</dc:creator>
  <cp:keywords/>
  <dc:description/>
  <cp:lastModifiedBy>MASTANTUONO LUDO (CTI SAINT-ETIENNE)</cp:lastModifiedBy>
  <cp:revision>4</cp:revision>
  <dcterms:created xsi:type="dcterms:W3CDTF">2025-10-16T06:25:00Z</dcterms:created>
  <dcterms:modified xsi:type="dcterms:W3CDTF">2025-10-16T07:16:00Z</dcterms:modified>
</cp:coreProperties>
</file>