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 Ludwig and Eduardo Sanchez</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That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What’s That Requirements Document</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(AL)</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The purpose of this document is to summarize the design requirements for What’s That. The Class diagram attached outlines the classes, their variables and the pseudocode for all the methods. The state chart shows the possible states for the Items contained in the database. And the First Cut Sequence Diagram shows the flow of information within the program.</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Class Diagram (AL)</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Pseudocode (AL)</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StateChard Diagram (AL)</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First Cut Sequence Diagram (AL)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