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2"/>
      </w:pPr>
      <w:bookmarkStart w:id="0" w:name="Xf810899468a31ae3af2c91e70a4a2c6104f0a04"/>
      <w:r>
        <w:t>Informe: Análisis de Caso - Modelos de Implementación en la Nube</w:t>
      </w:r>
    </w:p>
    <w:p>
      <w:pPr>
        <w:pStyle w:val="para13"/>
      </w:pPr>
      <w:bookmarkStart w:id="1" w:name="resumen-ejecutivo"/>
      <w:r>
        <w:t>1. Resumen Ejecutivo</w:t>
      </w:r>
    </w:p>
    <w:p>
      <w:pPr>
        <w:pStyle w:val="para2"/>
      </w:pPr>
      <w:r>
        <w:t>La empresa del sector financiero enfrenta limitaciones tecnológicas debido al uso exclusivo de servidores físicos locales. Esto ha provocado altos costos, baja redundancia y problemas de escalabilidad. Se propone la adopción de un modelo de implementación en la nube, recomendando una solución híbrida por su capacidad de combinar seguridad, cumplimiento normativo, escalabilidad y eficiencia operativa.</w:t>
      </w:r>
    </w:p>
    <w:p>
      <w:r>
        <w:rPr>
          <w:noProof/>
        </w:rPr>
        <w:pict>
          <v:rect id="_x0000_i1026" style="width:0.00pt;height:1.50pt" o:hr="t" o:hrpct="1000" o:hralign="center" o:hrstd="t" fillcolor="#000000" stroked="f"/>
        </w:pict>
      </w:r>
      <w:r/>
    </w:p>
    <w:p>
      <w:pPr>
        <w:pStyle w:val="para13"/>
      </w:pPr>
      <w:bookmarkEnd w:id="1"/>
      <w:r/>
      <w:bookmarkStart w:id="2" w:name="análisis-de-la-situación-actual"/>
      <w:r>
        <w:t>2. Análisis de la Situación Actual</w:t>
      </w:r>
    </w:p>
    <w:p>
      <w:pPr>
        <w:pStyle w:val="para2"/>
      </w:pPr>
      <w:r>
        <w:rPr>
          <w:b/>
          <w:bCs/>
        </w:rPr>
        <w:t>Problemas identificados:</w:t>
      </w:r>
      <w:r>
        <w:t xml:space="preserve"> - Altos costos de mantenimiento de servidores físicos. - Ausencia de redundancia ante fallos. - Baja escalabilidad frente a picos de demanda. - Riesgo de incumplimiento normativo en la gestión de datos financieros. - Falta de eficiencia en el rendimiento de los servicios internos.</w:t>
      </w:r>
    </w:p>
    <w:p>
      <w:r>
        <w:rPr>
          <w:noProof/>
        </w:rPr>
        <w:pict>
          <v:rect id="_x0000_i1027" style="width:0.00pt;height:1.50pt" o:hr="t" o:hrpct="1000" o:hralign="center" o:hrstd="t" fillcolor="#000000" stroked="f"/>
        </w:pict>
      </w:r>
      <w:r/>
    </w:p>
    <w:p>
      <w:pPr>
        <w:pStyle w:val="para13"/>
      </w:pPr>
      <w:bookmarkEnd w:id="2"/>
      <w:r/>
      <w:bookmarkStart w:id="3" w:name="comparación-de-modelos-de-implementación"/>
      <w:r>
        <w:t>3. Comparación de Modelos de Implementación</w:t>
      </w:r>
    </w:p>
    <w:tbl>
      <w:tblPr>
        <w:tblStyle w:val="Table"/>
        <w:name w:val="Tabla3"/>
        <w:tabOrder w:val="0"/>
        <w:jc w:val="left"/>
        <w:tblInd w:w="0" w:type="dxa"/>
        <w:tblW w:w="7918" w:type="dxa"/>
        <w:tblLook w:val="0020" w:firstRow="1" w:lastRow="0" w:firstColumn="0" w:lastColumn="0" w:noHBand="0" w:noVBand="0"/>
      </w:tblPr>
      <w:tblGrid>
        <w:gridCol w:w="2043"/>
        <w:gridCol w:w="2554"/>
        <w:gridCol w:w="3321"/>
      </w:tblGrid>
      <w:tr>
        <w:trPr>
          <w:tblHeader/>
          <w:cantSplit w:val="0"/>
          <w:trHeight w:val="0" w:hRule="auto"/>
        </w:trPr>
        <w:tc>
          <w:tcPr>
            <w:tcW w:w="2043" w:type="dxa"/>
            <w:tmTcPr id="1752189571" protected="0"/>
          </w:tcPr>
          <w:p>
            <w:pPr>
              <w:pStyle w:val="para3"/>
            </w:pPr>
            <w:r>
              <w:t>Modelo</w:t>
            </w:r>
          </w:p>
        </w:tc>
        <w:tc>
          <w:tcPr>
            <w:tcW w:w="2554" w:type="dxa"/>
            <w:tmTcPr id="1752189571" protected="0"/>
          </w:tcPr>
          <w:p>
            <w:pPr>
              <w:pStyle w:val="para3"/>
            </w:pPr>
            <w:r>
              <w:t>Ventajas</w:t>
            </w:r>
          </w:p>
        </w:tc>
        <w:tc>
          <w:tcPr>
            <w:tcW w:w="3321" w:type="dxa"/>
            <w:tmTcPr id="1752189571" protected="0"/>
          </w:tcPr>
          <w:p>
            <w:pPr>
              <w:pStyle w:val="para3"/>
            </w:pPr>
            <w:r>
              <w:t>Desventajas</w:t>
            </w:r>
          </w:p>
        </w:tc>
      </w:tr>
      <w:tr>
        <w:trPr>
          <w:cantSplit w:val="0"/>
          <w:trHeight w:val="0" w:hRule="auto"/>
        </w:trPr>
        <w:tc>
          <w:tcPr>
            <w:tcW w:w="2043" w:type="dxa"/>
            <w:tmTcPr id="1752189571" protected="0"/>
          </w:tcPr>
          <w:p>
            <w:pPr>
              <w:pStyle w:val="para3"/>
            </w:pPr>
            <w:r>
              <w:rPr>
                <w:b/>
                <w:bCs/>
              </w:rPr>
              <w:t>Nube Pública</w:t>
            </w:r>
            <w:r/>
          </w:p>
        </w:tc>
        <w:tc>
          <w:tcPr>
            <w:tcW w:w="2554" w:type="dxa"/>
            <w:tmTcPr id="1752189571" protected="0"/>
          </w:tcPr>
          <w:p>
            <w:pPr>
              <w:pStyle w:val="para3"/>
            </w:pPr>
            <w:r>
              <w:t>Económica, escalable, sin gestión de infraestructura</w:t>
            </w:r>
          </w:p>
        </w:tc>
        <w:tc>
          <w:tcPr>
            <w:tcW w:w="3321" w:type="dxa"/>
            <w:tmTcPr id="1752189571" protected="0"/>
          </w:tcPr>
          <w:p>
            <w:pPr>
              <w:pStyle w:val="para3"/>
            </w:pPr>
            <w:r>
              <w:t>Menor control, posibles dudas sobre seguridad</w:t>
            </w:r>
          </w:p>
        </w:tc>
      </w:tr>
      <w:tr>
        <w:trPr>
          <w:cantSplit w:val="0"/>
          <w:trHeight w:val="0" w:hRule="auto"/>
        </w:trPr>
        <w:tc>
          <w:tcPr>
            <w:tcW w:w="2043" w:type="dxa"/>
            <w:tmTcPr id="1752189571" protected="0"/>
          </w:tcPr>
          <w:p>
            <w:pPr>
              <w:pStyle w:val="para3"/>
            </w:pPr>
            <w:r>
              <w:rPr>
                <w:b/>
                <w:bCs/>
              </w:rPr>
              <w:t>Nube Privada</w:t>
            </w:r>
            <w:r/>
          </w:p>
        </w:tc>
        <w:tc>
          <w:tcPr>
            <w:tcW w:w="2554" w:type="dxa"/>
            <w:tmTcPr id="1752189571" protected="0"/>
          </w:tcPr>
          <w:p>
            <w:pPr>
              <w:pStyle w:val="para3"/>
            </w:pPr>
            <w:r>
              <w:t>Control total, mayor seguridad y cumplimiento</w:t>
            </w:r>
          </w:p>
        </w:tc>
        <w:tc>
          <w:tcPr>
            <w:tcW w:w="3321" w:type="dxa"/>
            <w:tmTcPr id="1752189571" protected="0"/>
          </w:tcPr>
          <w:p>
            <w:pPr>
              <w:pStyle w:val="para3"/>
            </w:pPr>
            <w:r>
              <w:t>Altos costos de implementación y mantenimiento</w:t>
            </w:r>
          </w:p>
        </w:tc>
      </w:tr>
      <w:tr>
        <w:trPr>
          <w:cantSplit w:val="0"/>
          <w:trHeight w:val="0" w:hRule="auto"/>
        </w:trPr>
        <w:tc>
          <w:tcPr>
            <w:tcW w:w="2043" w:type="dxa"/>
            <w:tmTcPr id="1752189571" protected="0"/>
          </w:tcPr>
          <w:p>
            <w:pPr>
              <w:pStyle w:val="para3"/>
            </w:pPr>
            <w:r>
              <w:rPr>
                <w:b/>
                <w:bCs/>
              </w:rPr>
              <w:t>Nube Híbrida</w:t>
            </w:r>
            <w:r/>
          </w:p>
        </w:tc>
        <w:tc>
          <w:tcPr>
            <w:tcW w:w="2554" w:type="dxa"/>
            <w:tmTcPr id="1752189571" protected="0"/>
          </w:tcPr>
          <w:p>
            <w:pPr>
              <w:pStyle w:val="para3"/>
            </w:pPr>
            <w:r>
              <w:t>Balance entre seguridad y escalabilidad, flexible</w:t>
            </w:r>
          </w:p>
        </w:tc>
        <w:tc>
          <w:tcPr>
            <w:tcW w:w="3321" w:type="dxa"/>
            <w:tmTcPr id="1752189571" protected="0"/>
          </w:tcPr>
          <w:p>
            <w:pPr>
              <w:pStyle w:val="para3"/>
            </w:pPr>
            <w:r>
              <w:t>Mayor complejidad de integración y gestión</w:t>
            </w:r>
          </w:p>
        </w:tc>
      </w:tr>
    </w:tbl>
    <w:p>
      <w:r>
        <w:rPr>
          <w:noProof/>
        </w:rPr>
        <w:pict>
          <v:rect id="_x0000_i1028" style="width:0.00pt;height:1.50pt" o:hr="t" o:hrpct="1000" o:hralign="center" o:hrstd="t" fillcolor="#000000" stroked="f"/>
        </w:pict>
      </w:r>
      <w:r/>
    </w:p>
    <w:p>
      <w:pPr>
        <w:pStyle w:val="para13"/>
      </w:pPr>
      <w:bookmarkEnd w:id="3"/>
      <w:r/>
      <w:bookmarkStart w:id="4" w:name="recomendación-y-justificación"/>
      <w:r>
        <w:t>4. Recomendación y Justificación</w:t>
      </w:r>
    </w:p>
    <w:p>
      <w:pPr>
        <w:pStyle w:val="para2"/>
      </w:pPr>
      <w:r>
        <w:rPr>
          <w:b/>
          <w:bCs/>
        </w:rPr>
        <w:t>Modelo recomendado:</w:t>
      </w:r>
      <w:r>
        <w:t xml:space="preserve"> Nube Híbrida</w:t>
      </w:r>
    </w:p>
    <w:p>
      <w:pPr>
        <w:pStyle w:val="para1"/>
      </w:pPr>
      <w:r>
        <w:rPr>
          <w:b/>
          <w:bCs/>
        </w:rPr>
        <w:t>Justificación:</w:t>
      </w:r>
      <w:r>
        <w:t xml:space="preserve"> - Permite alojar datos sensibles en nube privada, cumpliendo normativas. - Usa nube pública para servicios escalables y menos críticos. - Mejora la disponibilidad, continuidad operativa y optimiza costos.</w:t>
      </w:r>
    </w:p>
    <w:p>
      <w:r>
        <w:rPr>
          <w:noProof/>
        </w:rPr>
        <w:pict>
          <v:rect id="_x0000_i1029" style="width:0.00pt;height:1.50pt" o:hr="t" o:hrpct="1000" o:hralign="center" o:hrstd="t" fillcolor="#000000" stroked="f"/>
        </w:pict>
      </w:r>
      <w:r/>
    </w:p>
    <w:p>
      <w:pPr>
        <w:pStyle w:val="para13"/>
      </w:pPr>
      <w:bookmarkEnd w:id="4"/>
      <w:r/>
      <w:bookmarkStart w:id="5" w:name="plan-de-migración"/>
      <w:r>
        <w:t>5. Plan de Migración</w:t>
      </w:r>
    </w:p>
    <w:p>
      <w:pPr>
        <w:pStyle w:val="para3"/>
        <w:numPr>
          <w:ilvl w:val="0"/>
          <w:numId w:val="5"/>
        </w:numPr>
        <w:ind w:left="720" w:hanging="360"/>
      </w:pPr>
      <w:r>
        <w:rPr>
          <w:b/>
          <w:bCs/>
        </w:rPr>
        <w:t>Diagnóstico Inicial:</w:t>
      </w:r>
      <w:r>
        <w:t xml:space="preserve"> Auditoría de activos y clasificación de datos.</w:t>
      </w:r>
    </w:p>
    <w:p>
      <w:pPr>
        <w:pStyle w:val="para3"/>
        <w:numPr>
          <w:ilvl w:val="0"/>
          <w:numId w:val="5"/>
        </w:numPr>
        <w:ind w:left="720" w:hanging="360"/>
      </w:pPr>
      <w:r>
        <w:rPr>
          <w:b/>
          <w:bCs/>
        </w:rPr>
        <w:t>Diseño de Arquitectura Híbrida:</w:t>
      </w:r>
      <w:r>
        <w:t xml:space="preserve"> Selección de proveedores y servicios.</w:t>
      </w:r>
    </w:p>
    <w:p>
      <w:pPr>
        <w:pStyle w:val="para3"/>
        <w:numPr>
          <w:ilvl w:val="0"/>
          <w:numId w:val="5"/>
        </w:numPr>
        <w:ind w:left="720" w:hanging="360"/>
      </w:pPr>
      <w:r>
        <w:rPr>
          <w:b/>
          <w:bCs/>
        </w:rPr>
        <w:t>Prueba Piloto:</w:t>
      </w:r>
      <w:r>
        <w:t xml:space="preserve"> Migrar un sistema no crítico a la nube pública.</w:t>
      </w:r>
    </w:p>
    <w:p>
      <w:pPr>
        <w:pStyle w:val="para3"/>
        <w:numPr>
          <w:ilvl w:val="0"/>
          <w:numId w:val="5"/>
        </w:numPr>
        <w:ind w:left="720" w:hanging="360"/>
      </w:pPr>
      <w:r>
        <w:rPr>
          <w:b/>
          <w:bCs/>
        </w:rPr>
        <w:t>Implementación Escalonada:</w:t>
      </w:r>
      <w:r>
        <w:t xml:space="preserve"> Migración progresiva de servicios sensibles.</w:t>
      </w:r>
    </w:p>
    <w:p>
      <w:pPr>
        <w:pStyle w:val="para3"/>
        <w:numPr>
          <w:ilvl w:val="0"/>
          <w:numId w:val="5"/>
        </w:numPr>
        <w:ind w:left="720" w:hanging="360"/>
      </w:pPr>
      <w:r>
        <w:rPr>
          <w:b/>
          <w:bCs/>
        </w:rPr>
        <w:t>Integración y Validación:</w:t>
      </w:r>
      <w:r>
        <w:t xml:space="preserve"> Pruebas de interoperabilidad.</w:t>
      </w:r>
    </w:p>
    <w:p>
      <w:pPr>
        <w:pStyle w:val="para3"/>
        <w:numPr>
          <w:ilvl w:val="0"/>
          <w:numId w:val="5"/>
        </w:numPr>
        <w:ind w:left="720" w:hanging="360"/>
      </w:pPr>
      <w:r>
        <w:rPr>
          <w:b/>
          <w:bCs/>
        </w:rPr>
        <w:t>Capacitación:</w:t>
      </w:r>
      <w:r>
        <w:t xml:space="preserve"> Formación al equipo interno en herramientas cloud.</w:t>
      </w:r>
    </w:p>
    <w:p>
      <w:pPr>
        <w:pStyle w:val="para3"/>
        <w:numPr>
          <w:ilvl w:val="0"/>
          <w:numId w:val="5"/>
        </w:numPr>
        <w:ind w:left="720" w:hanging="360"/>
      </w:pPr>
      <w:r>
        <w:rPr>
          <w:b/>
          <w:bCs/>
        </w:rPr>
        <w:t>Monitoreo Continuo:</w:t>
      </w:r>
      <w:r>
        <w:t xml:space="preserve"> Supervisión de seguridad, rendimiento y costos.</w:t>
      </w:r>
    </w:p>
    <w:p>
      <w:r>
        <w:rPr>
          <w:noProof/>
        </w:rPr>
        <w:pict>
          <v:rect id="_x0000_i1030" style="width:0.00pt;height:1.50pt" o:hr="t" o:hrpct="1000" o:hralign="center" o:hrstd="t" fillcolor="#000000" stroked="f"/>
        </w:pict>
      </w:r>
      <w:r/>
    </w:p>
    <w:p>
      <w:pPr>
        <w:pStyle w:val="para13"/>
      </w:pPr>
      <w:bookmarkEnd w:id="5"/>
      <w:r/>
      <w:bookmarkStart w:id="6" w:name="evaluación-de-costos"/>
      <w:r>
        <w:t>6. Evaluación de Costos</w:t>
      </w:r>
    </w:p>
    <w:tbl>
      <w:tblPr>
        <w:tblStyle w:val="Table"/>
        <w:name w:val="Tabla7"/>
        <w:tabOrder w:val="0"/>
        <w:jc w:val="left"/>
        <w:tblInd w:w="0" w:type="dxa"/>
        <w:tblW w:w="7920" w:type="dxa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  <w:cantSplit w:val="0"/>
          <w:trHeight w:val="0" w:hRule="auto"/>
        </w:trPr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Modelo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Costos Iniciales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Costos Operativos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Comentario</w:t>
            </w:r>
          </w:p>
        </w:tc>
      </w:tr>
      <w:tr>
        <w:trPr>
          <w:cantSplit w:val="0"/>
          <w:trHeight w:val="0" w:hRule="auto"/>
        </w:trPr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Pública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Bajos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Medios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Ideal para escalar económicamente</w:t>
            </w:r>
          </w:p>
        </w:tc>
      </w:tr>
      <w:tr>
        <w:trPr>
          <w:cantSplit w:val="0"/>
          <w:trHeight w:val="0" w:hRule="auto"/>
        </w:trPr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Privada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Altos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Altos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Alta seguridad, pero costosa</w:t>
            </w:r>
          </w:p>
        </w:tc>
      </w:tr>
      <w:tr>
        <w:trPr>
          <w:cantSplit w:val="0"/>
          <w:trHeight w:val="0" w:hRule="auto"/>
        </w:trPr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Híbrida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Medios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Medios</w:t>
            </w:r>
          </w:p>
        </w:tc>
        <w:tc>
          <w:tcPr>
            <w:tcW w:w="1980" w:type="dxa"/>
            <w:tmTcPr id="1752189571" protected="0"/>
          </w:tcPr>
          <w:p>
            <w:pPr>
              <w:pStyle w:val="para3"/>
            </w:pPr>
            <w:r>
              <w:t>Balance adecuado de costo-beneficio</w:t>
            </w:r>
          </w:p>
        </w:tc>
      </w:tr>
    </w:tbl>
    <w:p>
      <w:r>
        <w:rPr>
          <w:noProof/>
        </w:rPr>
        <w:pict>
          <v:rect id="_x0000_i1031" style="width:0.00pt;height:1.50pt" o:hr="t" o:hrpct="1000" o:hralign="center" o:hrstd="t" fillcolor="#000000" stroked="f"/>
        </w:pict>
      </w:r>
      <w:r/>
    </w:p>
    <w:p>
      <w:pPr>
        <w:pStyle w:val="para13"/>
      </w:pPr>
      <w:bookmarkEnd w:id="6"/>
      <w:r/>
      <w:bookmarkStart w:id="7" w:name="medidas-de-seguridad-y-cumplimiento"/>
      <w:r>
        <w:t>7. Medidas de Seguridad y Cumplimiento</w:t>
      </w:r>
    </w:p>
    <w:p>
      <w:pPr>
        <w:pStyle w:val="para3"/>
        <w:numPr>
          <w:ilvl w:val="0"/>
          <w:numId w:val="3"/>
        </w:numPr>
        <w:ind w:left="720" w:hanging="360"/>
      </w:pPr>
      <w:r>
        <w:rPr>
          <w:b/>
          <w:bCs/>
        </w:rPr>
        <w:t>Cifrado de datos</w:t>
      </w:r>
      <w:r>
        <w:t xml:space="preserve"> (en tránsito y reposo).</w:t>
      </w:r>
    </w:p>
    <w:p>
      <w:pPr>
        <w:pStyle w:val="para3"/>
        <w:numPr>
          <w:ilvl w:val="0"/>
          <w:numId w:val="3"/>
        </w:numPr>
        <w:ind w:left="720" w:hanging="360"/>
      </w:pPr>
      <w:r>
        <w:rPr>
          <w:b/>
          <w:bCs/>
        </w:rPr>
        <w:t>IAM (Identity &amp; Access Management)</w:t>
      </w:r>
      <w:r>
        <w:t xml:space="preserve"> para control de accesos.</w:t>
      </w:r>
    </w:p>
    <w:p>
      <w:pPr>
        <w:pStyle w:val="para3"/>
        <w:numPr>
          <w:ilvl w:val="0"/>
          <w:numId w:val="3"/>
        </w:numPr>
        <w:ind w:left="720" w:hanging="360"/>
      </w:pPr>
      <w:r>
        <w:rPr>
          <w:b/>
          <w:bCs/>
        </w:rPr>
        <w:t>Autenticación multifactor</w:t>
      </w:r>
      <w:r>
        <w:t>.</w:t>
      </w:r>
    </w:p>
    <w:p>
      <w:pPr>
        <w:pStyle w:val="para3"/>
        <w:numPr>
          <w:ilvl w:val="0"/>
          <w:numId w:val="3"/>
        </w:numPr>
        <w:ind w:left="720" w:hanging="360"/>
      </w:pPr>
      <w:r>
        <w:rPr>
          <w:b/>
          <w:bCs/>
        </w:rPr>
        <w:t>Auditorías y registros continuos</w:t>
      </w:r>
      <w:r>
        <w:t>.</w:t>
      </w:r>
    </w:p>
    <w:p>
      <w:pPr>
        <w:pStyle w:val="para3"/>
        <w:numPr>
          <w:ilvl w:val="0"/>
          <w:numId w:val="3"/>
        </w:numPr>
        <w:ind w:left="720" w:hanging="360"/>
      </w:pPr>
      <w:r>
        <w:rPr>
          <w:b/>
          <w:bCs/>
        </w:rPr>
        <w:t>Cumplimiento de normativas</w:t>
      </w:r>
      <w:r>
        <w:t xml:space="preserve"> (ISO 27001, PCI-DSS, GDPR).</w:t>
      </w:r>
    </w:p>
    <w:p>
      <w:r>
        <w:rPr>
          <w:noProof/>
        </w:rPr>
        <w:pict>
          <v:rect id="_x0000_i1032" style="width:0.00pt;height:1.50pt" o:hr="t" o:hrpct="1000" o:hralign="center" o:hrstd="t" fillcolor="#000000" stroked="f"/>
        </w:pict>
      </w:r>
      <w:r/>
    </w:p>
    <w:p>
      <w:pPr>
        <w:pStyle w:val="para13"/>
      </w:pPr>
      <w:bookmarkEnd w:id="7"/>
      <w:r/>
      <w:bookmarkStart w:id="8" w:name="caso-de-éxito"/>
      <w:r>
        <w:t>8. Caso de Éxito</w:t>
      </w:r>
    </w:p>
    <w:p>
      <w:pPr>
        <w:pStyle w:val="para2"/>
      </w:pPr>
      <w:r>
        <w:rPr>
          <w:b/>
          <w:bCs/>
        </w:rPr>
        <w:t>BBVA (España)</w:t>
      </w:r>
      <w:r>
        <w:t xml:space="preserve"> - Adoptó un modelo de nube híbrida con Google Cloud e infraestructura privada. - Beneficios obtenidos: - Mejora de tiempos de respuesta en servicios. - Reducción de costos. - Aseguramiento del cumplimiento legal y normativo.</w:t>
      </w:r>
    </w:p>
    <w:p>
      <w:r>
        <w:rPr>
          <w:noProof/>
        </w:rPr>
        <w:pict>
          <v:rect id="_x0000_i1033" style="width:0.00pt;height:1.50pt" o:hr="t" o:hrpct="1000" o:hralign="center" o:hrstd="t" fillcolor="#000000" stroked="f"/>
        </w:pict>
      </w:r>
      <w:r/>
    </w:p>
    <w:p>
      <w:pPr>
        <w:pStyle w:val="para2"/>
      </w:pPr>
      <w:r>
        <w:rPr>
          <w:b/>
          <w:bCs/>
        </w:rPr>
        <w:t>Conclusión:</w:t>
      </w:r>
      <w:r>
        <w:t xml:space="preserve"> La migración hacia un modelo híbrido es la solución más viable para la empresa financiera, permitiendo un crecimiento sostenido, mayor seguridad y cumplimiento normativo sin sacrificar flexibilidad ni eficiencia operativa.</w:t>
      </w:r>
    </w:p>
    <w:p>
      <w:pPr>
        <w:pStyle w:val="para2"/>
      </w:pPr>
      <w:bookmarkEnd w:id="8"/>
      <w:r/>
      <w:bookmarkEnd w:id="0"/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134" w:top="1134" w:right="1134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panose1 w:val="020B0604020202020204"/>
    <w:charset w:val="00"/>
    <w:family w:val="swiss"/>
    <w:pitch w:val="default"/>
  </w:font>
  <w:font w:name="Aptos Display">
    <w:panose1 w:val="020B0604020202020204"/>
    <w:charset w:val="00"/>
    <w:family w:val="swiss"/>
    <w:pitch w:val="default"/>
  </w:font>
  <w:font w:name="Consolas">
    <w:panose1 w:val="020B06090202040302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 "/>
      <w:lvlJc w:val="left"/>
      <w:pPr>
        <w:ind w:left="360" w:hanging="0"/>
      </w:pPr>
    </w:lvl>
    <w:lvl w:ilvl="1">
      <w:numFmt w:val="bullet"/>
      <w:suff w:val="tab"/>
      <w:lvlText w:val=" "/>
      <w:lvlJc w:val="left"/>
      <w:pPr>
        <w:ind w:left="1080" w:hanging="0"/>
      </w:pPr>
    </w:lvl>
    <w:lvl w:ilvl="2">
      <w:numFmt w:val="bullet"/>
      <w:suff w:val="tab"/>
      <w:lvlText w:val=" "/>
      <w:lvlJc w:val="left"/>
      <w:pPr>
        <w:ind w:left="1800" w:hanging="0"/>
      </w:pPr>
    </w:lvl>
    <w:lvl w:ilvl="3">
      <w:numFmt w:val="bullet"/>
      <w:suff w:val="tab"/>
      <w:lvlText w:val=" "/>
      <w:lvlJc w:val="left"/>
      <w:pPr>
        <w:ind w:left="2520" w:hanging="0"/>
      </w:pPr>
    </w:lvl>
    <w:lvl w:ilvl="4">
      <w:numFmt w:val="bullet"/>
      <w:suff w:val="tab"/>
      <w:lvlText w:val=" "/>
      <w:lvlJc w:val="left"/>
      <w:pPr>
        <w:ind w:left="3240" w:hanging="0"/>
      </w:pPr>
    </w:lvl>
    <w:lvl w:ilvl="5">
      <w:numFmt w:val="bullet"/>
      <w:suff w:val="tab"/>
      <w:lvlText w:val=" "/>
      <w:lvlJc w:val="left"/>
      <w:pPr>
        <w:ind w:left="3960" w:hanging="0"/>
      </w:pPr>
    </w:lvl>
    <w:lvl w:ilvl="6">
      <w:numFmt w:val="bullet"/>
      <w:suff w:val="tab"/>
      <w:lvlText w:val=" "/>
      <w:lvlJc w:val="left"/>
      <w:pPr>
        <w:ind w:left="4680" w:hanging="0"/>
      </w:pPr>
    </w:lvl>
    <w:lvl w:ilvl="7">
      <w:numFmt w:val="bullet"/>
      <w:suff w:val="tab"/>
      <w:lvlText w:val=" "/>
      <w:lvlJc w:val="left"/>
      <w:pPr>
        <w:ind w:left="5400" w:hanging="0"/>
      </w:pPr>
    </w:lvl>
    <w:lvl w:ilvl="8">
      <w:numFmt w:val="bullet"/>
      <w:suff w:val="tab"/>
      <w:lvlText w:val=" "/>
      <w:lvlJc w:val="left"/>
      <w:pPr>
        <w:ind w:left="6120" w:hanging="0"/>
      </w:pPr>
    </w:lvl>
  </w:abstractNum>
  <w:abstractNum w:abstractNumId="2">
    <w:multiLevelType w:val="hybridMultilevel"/>
    <w:name w:val="Lista numerada 2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decimal"/>
      <w:suff w:val="tab"/>
      <w:lvlText w:val="%2."/>
      <w:lvlJc w:val="left"/>
      <w:pPr>
        <w:ind w:left="1080" w:hanging="0"/>
      </w:pPr>
    </w:lvl>
    <w:lvl w:ilvl="2">
      <w:start w:val="1"/>
      <w:numFmt w:val="decimal"/>
      <w:suff w:val="tab"/>
      <w:lvlText w:val="%3."/>
      <w:lvlJc w:val="left"/>
      <w:pPr>
        <w:ind w:left="180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decimal"/>
      <w:suff w:val="tab"/>
      <w:lvlText w:val="%5."/>
      <w:lvlJc w:val="left"/>
      <w:pPr>
        <w:ind w:left="3240" w:hanging="0"/>
      </w:pPr>
    </w:lvl>
    <w:lvl w:ilvl="5">
      <w:start w:val="1"/>
      <w:numFmt w:val="decimal"/>
      <w:suff w:val="tab"/>
      <w:lvlText w:val="%6."/>
      <w:lvlJc w:val="left"/>
      <w:pPr>
        <w:ind w:left="396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decimal"/>
      <w:suff w:val="tab"/>
      <w:lvlText w:val="%8."/>
      <w:lvlJc w:val="left"/>
      <w:pPr>
        <w:ind w:left="5400" w:hanging="0"/>
      </w:pPr>
    </w:lvl>
    <w:lvl w:ilvl="8">
      <w:start w:val="1"/>
      <w:numFmt w:val="decimal"/>
      <w:suff w:val="tab"/>
      <w:lvlText w:val="%9."/>
      <w:lvlJc w:val="left"/>
      <w:pPr>
        <w:ind w:left="6120" w:hanging="0"/>
      </w:pPr>
    </w:lvl>
  </w:abstractNum>
  <w:abstractNum w:abstractNumId="3">
    <w:multiLevelType w:val="hybridMultilevel"/>
    <w:name w:val="Lista numerada 3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 w:cs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 w:cs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 w:cs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decimal"/>
      <w:suff w:val="tab"/>
      <w:lvlText w:val="%2."/>
      <w:lvlJc w:val="left"/>
      <w:pPr>
        <w:ind w:left="1080" w:hanging="0"/>
      </w:pPr>
    </w:lvl>
    <w:lvl w:ilvl="2">
      <w:start w:val="1"/>
      <w:numFmt w:val="decimal"/>
      <w:suff w:val="tab"/>
      <w:lvlText w:val="%3."/>
      <w:lvlJc w:val="left"/>
      <w:pPr>
        <w:ind w:left="180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decimal"/>
      <w:suff w:val="tab"/>
      <w:lvlText w:val="%5."/>
      <w:lvlJc w:val="left"/>
      <w:pPr>
        <w:ind w:left="3240" w:hanging="0"/>
      </w:pPr>
    </w:lvl>
    <w:lvl w:ilvl="5">
      <w:start w:val="1"/>
      <w:numFmt w:val="decimal"/>
      <w:suff w:val="tab"/>
      <w:lvlText w:val="%6."/>
      <w:lvlJc w:val="left"/>
      <w:pPr>
        <w:ind w:left="396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decimal"/>
      <w:suff w:val="tab"/>
      <w:lvlText w:val="%8."/>
      <w:lvlJc w:val="left"/>
      <w:pPr>
        <w:ind w:left="5400" w:hanging="0"/>
      </w:pPr>
    </w:lvl>
    <w:lvl w:ilvl="8">
      <w:start w:val="1"/>
      <w:numFmt w:val="decimal"/>
      <w:suff w:val="tab"/>
      <w:lvlText w:val="%9."/>
      <w:lvlJc w:val="left"/>
      <w:pPr>
        <w:ind w:left="612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360"/>
  <w:drawingGridVerticalSpacing w:val="360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34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"/>
    <w:tmLastPosSelect w:val="2"/>
    <w:tmLastPosFrameIdx w:val="0"/>
    <w:tmLastPosCaret>
      <w:tmLastPosPgfIdx w:val="24"/>
      <w:tmLastPosIdx w:val="0"/>
    </w:tmLastPosCaret>
    <w:tmLastPosAnchor>
      <w:tmLastPosPgfIdx w:val="0"/>
      <w:tmLastPosIdx w:val="0"/>
    </w:tmLastPosAnchor>
    <w:tmLastPosTblRect w:left="0" w:top="0" w:right="3" w:bottom="3"/>
  </w:tmLastPos>
  <w:tmAppRevision w:date="1752189571" w:val="1224" w:fileVer="342" w:fileVerOS="4"/>
  <w:guidesAndGrid showGuides="1" lockGuides="0" snapToGuides="1" snapToPageMargins="0" tolerance="8" gridDistanceHorizontal="360" gridDistanceVertical="360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eastAsia="Aptos" w:cs="Apto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Body Text"/>
    <w:qFormat/>
    <w:basedOn w:val="para0"/>
    <w:pPr>
      <w:spacing w:before="180" w:after="180"/>
    </w:pPr>
  </w:style>
  <w:style w:type="paragraph" w:styleId="para2" w:customStyle="1">
    <w:name w:val="First Paragraph"/>
    <w:qFormat/>
    <w:basedOn w:val="para1"/>
    <w:next w:val="para1"/>
  </w:style>
  <w:style w:type="paragraph" w:styleId="para3" w:customStyle="1">
    <w:name w:val="Compact"/>
    <w:qFormat/>
    <w:basedOn w:val="para1"/>
    <w:pPr>
      <w:spacing w:before="36" w:after="36"/>
    </w:pPr>
  </w:style>
  <w:style w:type="paragraph" w:styleId="para4">
    <w:name w:val="Title"/>
    <w:qFormat/>
    <w:basedOn w:val="para0"/>
    <w:next w:val="para1"/>
    <w:pPr>
      <w:spacing w:after="80"/>
      <w:contextualSpacing/>
      <w:jc w:val="center"/>
    </w:pPr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paragraph" w:styleId="para5">
    <w:name w:val="Subtitle"/>
    <w:qFormat/>
    <w:basedOn w:val="para4"/>
    <w:next w:val="para1"/>
    <w:rPr>
      <w:spacing w:val="15" w:percent="112"/>
      <w:sz w:val="28"/>
      <w:szCs w:val="28"/>
    </w:rPr>
  </w:style>
  <w:style w:type="paragraph" w:styleId="para6" w:customStyle="1">
    <w:name w:val="Author"/>
    <w:qFormat/>
    <w:next w:val="para1"/>
    <w:pPr>
      <w:spacing/>
      <w:jc w:val="center"/>
      <w:keepNext/>
      <w:keepLines/>
    </w:pPr>
    <w:rPr>
      <w:rFonts w:ascii="Aptos" w:hAnsi="Aptos" w:eastAsia="Aptos" w:cs="Aptos"/>
      <w:sz w:val="24"/>
      <w:szCs w:val="24"/>
      <w:lang w:val="en-us" w:eastAsia="en-us" w:bidi="ar-sa"/>
    </w:rPr>
  </w:style>
  <w:style w:type="paragraph" w:styleId="para7">
    <w:name w:val="Date"/>
    <w:qFormat/>
    <w:next w:val="para1"/>
    <w:pPr>
      <w:spacing/>
      <w:jc w:val="center"/>
      <w:keepNext/>
      <w:keepLines/>
    </w:pPr>
    <w:rPr>
      <w:rFonts w:ascii="Aptos" w:hAnsi="Aptos" w:eastAsia="Aptos" w:cs="Aptos"/>
      <w:sz w:val="24"/>
      <w:szCs w:val="24"/>
      <w:lang w:val="en-us" w:eastAsia="en-us" w:bidi="ar-sa"/>
    </w:rPr>
  </w:style>
  <w:style w:type="paragraph" w:styleId="para8" w:customStyle="1">
    <w:name w:val="Abstract Title"/>
    <w:qFormat/>
    <w:basedOn w:val="para0"/>
    <w:next w:val="para9"/>
    <w:pPr>
      <w:spacing w:before="300" w:after="0"/>
      <w:jc w:val="center"/>
      <w:keepNext/>
      <w:keepLines/>
    </w:pPr>
    <w:rPr>
      <w:b/>
      <w:sz w:val="20"/>
      <w:szCs w:val="20"/>
    </w:rPr>
  </w:style>
  <w:style w:type="paragraph" w:styleId="para9" w:customStyle="1">
    <w:name w:val="Abstract"/>
    <w:qFormat/>
    <w:basedOn w:val="para0"/>
    <w:next w:val="para1"/>
    <w:pPr>
      <w:spacing w:before="100" w:after="300"/>
      <w:keepNext/>
      <w:keepLines/>
    </w:pPr>
    <w:rPr>
      <w:sz w:val="20"/>
      <w:szCs w:val="20"/>
    </w:rPr>
  </w:style>
  <w:style w:type="paragraph" w:styleId="para10">
    <w:name w:val="Bibliography"/>
    <w:qFormat/>
    <w:basedOn w:val="para0"/>
  </w:style>
  <w:style w:type="paragraph" w:styleId="para11">
    <w:name w:val="heading 1"/>
    <w:qFormat/>
    <w:basedOn w:val="para0"/>
    <w:next w:val="para1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12">
    <w:name w:val="heading 2"/>
    <w:qFormat/>
    <w:basedOn w:val="para0"/>
    <w:next w:val="para1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13">
    <w:name w:val="heading 3"/>
    <w:qFormat/>
    <w:basedOn w:val="para0"/>
    <w:next w:val="para1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14">
    <w:name w:val="heading 4"/>
    <w:qFormat/>
    <w:basedOn w:val="para0"/>
    <w:next w:val="para1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15">
    <w:name w:val="heading 5"/>
    <w:qFormat/>
    <w:basedOn w:val="para0"/>
    <w:next w:val="para1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16">
    <w:name w:val="heading 6"/>
    <w:qFormat/>
    <w:basedOn w:val="para0"/>
    <w:next w:val="para1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17">
    <w:name w:val="heading 7"/>
    <w:qFormat/>
    <w:basedOn w:val="para0"/>
    <w:next w:val="para1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18">
    <w:name w:val="heading 8"/>
    <w:qFormat/>
    <w:basedOn w:val="para0"/>
    <w:next w:val="para1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19">
    <w:name w:val="heading 9"/>
    <w:qFormat/>
    <w:basedOn w:val="para0"/>
    <w:next w:val="para1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20">
    <w:name w:val="Block Text"/>
    <w:qFormat/>
    <w:basedOn w:val="para1"/>
    <w:next w:val="para1"/>
    <w:pPr>
      <w:ind w:left="480" w:right="480"/>
      <w:spacing w:before="100" w:after="100"/>
    </w:pPr>
  </w:style>
  <w:style w:type="paragraph" w:styleId="para21">
    <w:name w:val="Footnote Text"/>
    <w:qFormat/>
    <w:basedOn w:val="para0"/>
  </w:style>
  <w:style w:type="paragraph" w:styleId="para22" w:customStyle="1">
    <w:name w:val="Footnote Block Text"/>
    <w:qFormat/>
    <w:basedOn w:val="para21"/>
    <w:next w:val="para21"/>
    <w:pPr>
      <w:ind w:left="480" w:right="480"/>
      <w:spacing w:before="100" w:after="100"/>
    </w:pPr>
  </w:style>
  <w:style w:type="paragraph" w:styleId="para23" w:customStyle="1">
    <w:name w:val="Definition Term"/>
    <w:qFormat/>
    <w:basedOn w:val="para0"/>
    <w:next w:val="para24"/>
    <w:pPr>
      <w:spacing w:after="0"/>
      <w:keepNext/>
      <w:keepLines/>
    </w:pPr>
    <w:rPr>
      <w:b/>
    </w:rPr>
  </w:style>
  <w:style w:type="paragraph" w:styleId="para24" w:customStyle="1">
    <w:name w:val="Definition"/>
    <w:qFormat/>
    <w:basedOn w:val="para0"/>
  </w:style>
  <w:style w:type="paragraph" w:styleId="para25">
    <w:name w:val="caption"/>
    <w:qFormat/>
    <w:basedOn w:val="para0"/>
    <w:pPr>
      <w:spacing w:after="120"/>
    </w:pPr>
    <w:rPr>
      <w:i/>
    </w:rPr>
  </w:style>
  <w:style w:type="paragraph" w:styleId="para26" w:customStyle="1">
    <w:name w:val="Table Caption"/>
    <w:qFormat/>
    <w:basedOn w:val="para25"/>
    <w:pPr>
      <w:keepNext/>
    </w:pPr>
  </w:style>
  <w:style w:type="paragraph" w:styleId="para27" w:customStyle="1">
    <w:name w:val="Image Caption"/>
    <w:qFormat/>
    <w:basedOn w:val="para25"/>
  </w:style>
  <w:style w:type="paragraph" w:styleId="para28" w:customStyle="1">
    <w:name w:val="Figure"/>
    <w:qFormat/>
    <w:basedOn w:val="para0"/>
  </w:style>
  <w:style w:type="paragraph" w:styleId="para29" w:customStyle="1">
    <w:name w:val="Captioned Figure"/>
    <w:qFormat/>
    <w:basedOn w:val="para28"/>
    <w:pPr>
      <w:keepNext/>
    </w:pPr>
  </w:style>
  <w:style w:type="paragraph" w:styleId="para30">
    <w:name w:val="TOC Heading"/>
    <w:qFormat/>
    <w:basedOn w:val="para11"/>
    <w:next w:val="para1"/>
    <w:pPr>
      <w:spacing w:before="240" w:line="259" w:lineRule="auto"/>
      <w:outlineLvl w:val="9"/>
    </w:pPr>
    <w:rPr>
      <w:color w:val="365f91"/>
    </w:rPr>
  </w:style>
  <w:style w:type="paragraph" w:styleId="para31" w:customStyle="1">
    <w:name w:val="Source Code"/>
    <w:qFormat/>
    <w:basedOn w:val="para0"/>
  </w:style>
  <w:style w:type="character" w:styleId="char0" w:default="1">
    <w:name w:val="Default Paragraph Font"/>
  </w:style>
  <w:style w:type="character" w:styleId="char1" w:customStyle="1">
    <w:name w:val="Title Char"/>
    <w:basedOn w:val="char0"/>
    <w:rPr>
      <w:rFonts w:ascii="Aptos Display" w:hAnsi="Aptos Display" w:eastAsia="Aptos Display" w:cs="Aptos Display"/>
      <w:spacing w:val="-20" w:percent="92"/>
      <w:kern w:val="1"/>
      <w:sz w:val="56"/>
      <w:szCs w:val="56"/>
    </w:rPr>
  </w:style>
  <w:style w:type="character" w:styleId="char2" w:customStyle="1">
    <w:name w:val="Subtitle Char"/>
    <w:basedOn w:val="char0"/>
    <w:rPr>
      <w:rFonts w:eastAsia="Aptos Display" w:cs="Aptos Display"/>
      <w:color w:val="595959"/>
      <w:spacing w:val="33" w:percent="127"/>
      <w:sz w:val="28"/>
      <w:szCs w:val="28"/>
    </w:rPr>
  </w:style>
  <w:style w:type="character" w:styleId="char3" w:customStyle="1">
    <w:name w:val="Heading 1 Char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4" w:customStyle="1">
    <w:name w:val="Heading 2 Char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5" w:customStyle="1">
    <w:name w:val="Heading 3 Char"/>
    <w:basedOn w:val="char0"/>
    <w:rPr>
      <w:rFonts w:eastAsia="Aptos Display" w:cs="Aptos Display"/>
      <w:color w:val="0f4761"/>
      <w:sz w:val="28"/>
      <w:szCs w:val="28"/>
    </w:rPr>
  </w:style>
  <w:style w:type="character" w:styleId="char6" w:customStyle="1">
    <w:name w:val="Heading 4 Char"/>
    <w:basedOn w:val="char0"/>
    <w:rPr>
      <w:rFonts w:eastAsia="Aptos Display" w:cs="Aptos Display"/>
      <w:i/>
      <w:iCs/>
      <w:color w:val="0f4761"/>
    </w:rPr>
  </w:style>
  <w:style w:type="character" w:styleId="char7" w:customStyle="1">
    <w:name w:val="Heading 5 Char"/>
    <w:basedOn w:val="char0"/>
    <w:rPr>
      <w:rFonts w:eastAsia="Aptos Display" w:cs="Aptos Display"/>
      <w:color w:val="0f4761"/>
    </w:rPr>
  </w:style>
  <w:style w:type="character" w:styleId="char8" w:customStyle="1">
    <w:name w:val="Heading 6 Char"/>
    <w:basedOn w:val="char0"/>
    <w:rPr>
      <w:rFonts w:eastAsia="Aptos Display" w:cs="Aptos Display"/>
      <w:i/>
      <w:iCs/>
      <w:color w:val="595959"/>
    </w:rPr>
  </w:style>
  <w:style w:type="character" w:styleId="char9" w:customStyle="1">
    <w:name w:val="Heading 7 Char"/>
    <w:basedOn w:val="char0"/>
    <w:rPr>
      <w:rFonts w:eastAsia="Aptos Display" w:cs="Aptos Display"/>
      <w:color w:val="595959"/>
    </w:rPr>
  </w:style>
  <w:style w:type="character" w:styleId="char10" w:customStyle="1">
    <w:name w:val="Heading 8 Char"/>
    <w:basedOn w:val="char0"/>
    <w:rPr>
      <w:rFonts w:eastAsia="Aptos Display" w:cs="Aptos Display"/>
      <w:i/>
      <w:iCs/>
      <w:color w:val="272727"/>
    </w:rPr>
  </w:style>
  <w:style w:type="character" w:styleId="char11" w:customStyle="1">
    <w:name w:val="Heading 9 Char"/>
    <w:basedOn w:val="char0"/>
    <w:rPr>
      <w:rFonts w:eastAsia="Aptos Display" w:cs="Aptos Display"/>
      <w:color w:val="272727"/>
    </w:rPr>
  </w:style>
  <w:style w:type="character" w:styleId="char12" w:customStyle="1">
    <w:name w:val="Body Text Char"/>
    <w:basedOn w:val="char0"/>
  </w:style>
  <w:style w:type="character" w:styleId="char13" w:customStyle="1">
    <w:name w:val="Verbatim Char"/>
    <w:basedOn w:val="char12"/>
    <w:rPr>
      <w:rFonts w:ascii="Consolas" w:hAnsi="Consolas"/>
      <w:sz w:val="22"/>
    </w:rPr>
  </w:style>
  <w:style w:type="character" w:styleId="char14" w:customStyle="1">
    <w:name w:val="Section Number"/>
    <w:basedOn w:val="char12"/>
  </w:style>
  <w:style w:type="character" w:styleId="char15">
    <w:name w:val="Footnote Reference"/>
    <w:basedOn w:val="char12"/>
    <w:rPr>
      <w:vertAlign w:val="superscript"/>
    </w:rPr>
  </w:style>
  <w:style w:type="character" w:styleId="char16">
    <w:name w:val="Hyperlink"/>
    <w:basedOn w:val="char12"/>
    <w:rPr>
      <w:color w:val="4f81bd"/>
    </w:rPr>
  </w:style>
  <w:style w:type="character" w:styleId="char17" w:customStyle="1">
    <w:name w:val="KeywordTok"/>
    <w:basedOn w:val="char13"/>
    <w:rPr>
      <w:b/>
      <w:color w:val="007020"/>
    </w:rPr>
  </w:style>
  <w:style w:type="character" w:styleId="char18" w:customStyle="1">
    <w:name w:val="DataTypeTok"/>
    <w:basedOn w:val="char13"/>
    <w:rPr>
      <w:color w:val="902000"/>
    </w:rPr>
  </w:style>
  <w:style w:type="character" w:styleId="char19" w:customStyle="1">
    <w:name w:val="DecValTok"/>
    <w:basedOn w:val="char13"/>
    <w:rPr>
      <w:color w:val="40a070"/>
    </w:rPr>
  </w:style>
  <w:style w:type="character" w:styleId="char20" w:customStyle="1">
    <w:name w:val="BaseNTok"/>
    <w:basedOn w:val="char13"/>
    <w:rPr>
      <w:color w:val="40a070"/>
    </w:rPr>
  </w:style>
  <w:style w:type="character" w:styleId="char21" w:customStyle="1">
    <w:name w:val="FloatTok"/>
    <w:basedOn w:val="char13"/>
    <w:rPr>
      <w:color w:val="40a070"/>
    </w:rPr>
  </w:style>
  <w:style w:type="character" w:styleId="char22" w:customStyle="1">
    <w:name w:val="ConstantTok"/>
    <w:basedOn w:val="char13"/>
    <w:rPr>
      <w:color w:val="880000"/>
    </w:rPr>
  </w:style>
  <w:style w:type="character" w:styleId="char23" w:customStyle="1">
    <w:name w:val="CharTok"/>
    <w:basedOn w:val="char13"/>
    <w:rPr>
      <w:color w:val="4070a0"/>
    </w:rPr>
  </w:style>
  <w:style w:type="character" w:styleId="char24" w:customStyle="1">
    <w:name w:val="SpecialCharTok"/>
    <w:basedOn w:val="char13"/>
    <w:rPr>
      <w:color w:val="4070a0"/>
    </w:rPr>
  </w:style>
  <w:style w:type="character" w:styleId="char25" w:customStyle="1">
    <w:name w:val="StringTok"/>
    <w:basedOn w:val="char13"/>
    <w:rPr>
      <w:color w:val="4070a0"/>
    </w:rPr>
  </w:style>
  <w:style w:type="character" w:styleId="char26" w:customStyle="1">
    <w:name w:val="VerbatimStringTok"/>
    <w:basedOn w:val="char13"/>
    <w:rPr>
      <w:color w:val="4070a0"/>
    </w:rPr>
  </w:style>
  <w:style w:type="character" w:styleId="char27" w:customStyle="1">
    <w:name w:val="SpecialStringTok"/>
    <w:basedOn w:val="char13"/>
    <w:rPr>
      <w:color w:val="bb6688"/>
    </w:rPr>
  </w:style>
  <w:style w:type="character" w:styleId="char28" w:customStyle="1">
    <w:name w:val="ImportTok"/>
    <w:basedOn w:val="char13"/>
    <w:rPr>
      <w:b/>
      <w:color w:val="008000"/>
    </w:rPr>
  </w:style>
  <w:style w:type="character" w:styleId="char29" w:customStyle="1">
    <w:name w:val="CommentTok"/>
    <w:basedOn w:val="char13"/>
    <w:rPr>
      <w:i/>
      <w:color w:val="60a0b0"/>
    </w:rPr>
  </w:style>
  <w:style w:type="character" w:styleId="char30" w:customStyle="1">
    <w:name w:val="DocumentationTok"/>
    <w:basedOn w:val="char13"/>
    <w:rPr>
      <w:i/>
      <w:color w:val="ba2121"/>
    </w:rPr>
  </w:style>
  <w:style w:type="character" w:styleId="char31" w:customStyle="1">
    <w:name w:val="AnnotationTok"/>
    <w:basedOn w:val="char13"/>
    <w:rPr>
      <w:b/>
      <w:i/>
      <w:color w:val="60a0b0"/>
    </w:rPr>
  </w:style>
  <w:style w:type="character" w:styleId="char32" w:customStyle="1">
    <w:name w:val="CommentVarTok"/>
    <w:basedOn w:val="char13"/>
    <w:rPr>
      <w:b/>
      <w:i/>
      <w:color w:val="60a0b0"/>
    </w:rPr>
  </w:style>
  <w:style w:type="character" w:styleId="char33" w:customStyle="1">
    <w:name w:val="OtherTok"/>
    <w:basedOn w:val="char13"/>
    <w:rPr>
      <w:color w:val="007020"/>
    </w:rPr>
  </w:style>
  <w:style w:type="character" w:styleId="char34" w:customStyle="1">
    <w:name w:val="FunctionTok"/>
    <w:basedOn w:val="char13"/>
    <w:rPr>
      <w:color w:val="06287e"/>
    </w:rPr>
  </w:style>
  <w:style w:type="character" w:styleId="char35" w:customStyle="1">
    <w:name w:val="VariableTok"/>
    <w:basedOn w:val="char13"/>
    <w:rPr>
      <w:color w:val="19177c"/>
    </w:rPr>
  </w:style>
  <w:style w:type="character" w:styleId="char36" w:customStyle="1">
    <w:name w:val="ControlFlowTok"/>
    <w:basedOn w:val="char13"/>
    <w:rPr>
      <w:b/>
      <w:color w:val="007020"/>
    </w:rPr>
  </w:style>
  <w:style w:type="character" w:styleId="char37" w:customStyle="1">
    <w:name w:val="OperatorTok"/>
    <w:basedOn w:val="char13"/>
    <w:rPr>
      <w:color w:val="666666"/>
    </w:rPr>
  </w:style>
  <w:style w:type="character" w:styleId="char38" w:customStyle="1">
    <w:name w:val="BuiltInTok"/>
    <w:basedOn w:val="char13"/>
    <w:rPr>
      <w:color w:val="008000"/>
    </w:rPr>
  </w:style>
  <w:style w:type="character" w:styleId="char39" w:customStyle="1">
    <w:name w:val="ExtensionTok"/>
    <w:basedOn w:val="char13"/>
  </w:style>
  <w:style w:type="character" w:styleId="char40" w:customStyle="1">
    <w:name w:val="PreprocessorTok"/>
    <w:basedOn w:val="char13"/>
    <w:rPr>
      <w:color w:val="bc7a00"/>
    </w:rPr>
  </w:style>
  <w:style w:type="character" w:styleId="char41" w:customStyle="1">
    <w:name w:val="AttributeTok"/>
    <w:basedOn w:val="char13"/>
    <w:rPr>
      <w:color w:val="7d9029"/>
    </w:rPr>
  </w:style>
  <w:style w:type="character" w:styleId="char42" w:customStyle="1">
    <w:name w:val="RegionMarkerTok"/>
    <w:basedOn w:val="char13"/>
  </w:style>
  <w:style w:type="character" w:styleId="char43" w:customStyle="1">
    <w:name w:val="InformationTok"/>
    <w:basedOn w:val="char13"/>
    <w:rPr>
      <w:b/>
      <w:i/>
      <w:color w:val="60a0b0"/>
    </w:rPr>
  </w:style>
  <w:style w:type="character" w:styleId="char44" w:customStyle="1">
    <w:name w:val="WarningTok"/>
    <w:basedOn w:val="char13"/>
    <w:rPr>
      <w:b/>
      <w:i/>
      <w:color w:val="60a0b0"/>
    </w:rPr>
  </w:style>
  <w:style w:type="character" w:styleId="char45" w:customStyle="1">
    <w:name w:val="AlertTok"/>
    <w:basedOn w:val="char13"/>
    <w:rPr>
      <w:b/>
      <w:color w:val="ff0000"/>
    </w:rPr>
  </w:style>
  <w:style w:type="character" w:styleId="char46" w:customStyle="1">
    <w:name w:val="ErrorTok"/>
    <w:basedOn w:val="char13"/>
    <w:rPr>
      <w:b/>
      <w:color w:val="ff0000"/>
    </w:rPr>
  </w:style>
  <w:style w:type="character" w:styleId="char47" w:customStyle="1">
    <w:name w:val="NormalTok"/>
    <w:basedOn w:val="char13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8" w:space="0" w:color="000000" tmln="20, 0, 0, 0, 0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ptos" w:hAnsi="Aptos" w:eastAsia="Aptos" w:cs="Apto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Body Text"/>
    <w:qFormat/>
    <w:basedOn w:val="para0"/>
    <w:pPr>
      <w:spacing w:before="180" w:after="180"/>
    </w:pPr>
  </w:style>
  <w:style w:type="paragraph" w:styleId="para2" w:customStyle="1">
    <w:name w:val="First Paragraph"/>
    <w:qFormat/>
    <w:basedOn w:val="para1"/>
    <w:next w:val="para1"/>
  </w:style>
  <w:style w:type="paragraph" w:styleId="para3" w:customStyle="1">
    <w:name w:val="Compact"/>
    <w:qFormat/>
    <w:basedOn w:val="para1"/>
    <w:pPr>
      <w:spacing w:before="36" w:after="36"/>
    </w:pPr>
  </w:style>
  <w:style w:type="paragraph" w:styleId="para4">
    <w:name w:val="Title"/>
    <w:qFormat/>
    <w:basedOn w:val="para0"/>
    <w:next w:val="para1"/>
    <w:pPr>
      <w:spacing w:after="80"/>
      <w:contextualSpacing/>
      <w:jc w:val="center"/>
    </w:pPr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paragraph" w:styleId="para5">
    <w:name w:val="Subtitle"/>
    <w:qFormat/>
    <w:basedOn w:val="para4"/>
    <w:next w:val="para1"/>
    <w:rPr>
      <w:spacing w:val="15" w:percent="112"/>
      <w:sz w:val="28"/>
      <w:szCs w:val="28"/>
    </w:rPr>
  </w:style>
  <w:style w:type="paragraph" w:styleId="para6" w:customStyle="1">
    <w:name w:val="Author"/>
    <w:qFormat/>
    <w:next w:val="para1"/>
    <w:pPr>
      <w:spacing/>
      <w:jc w:val="center"/>
      <w:keepNext/>
      <w:keepLines/>
    </w:pPr>
    <w:rPr>
      <w:rFonts w:ascii="Aptos" w:hAnsi="Aptos" w:eastAsia="Aptos" w:cs="Aptos"/>
      <w:sz w:val="24"/>
      <w:szCs w:val="24"/>
      <w:lang w:val="en-us" w:eastAsia="en-us" w:bidi="ar-sa"/>
    </w:rPr>
  </w:style>
  <w:style w:type="paragraph" w:styleId="para7">
    <w:name w:val="Date"/>
    <w:qFormat/>
    <w:next w:val="para1"/>
    <w:pPr>
      <w:spacing/>
      <w:jc w:val="center"/>
      <w:keepNext/>
      <w:keepLines/>
    </w:pPr>
    <w:rPr>
      <w:rFonts w:ascii="Aptos" w:hAnsi="Aptos" w:eastAsia="Aptos" w:cs="Aptos"/>
      <w:sz w:val="24"/>
      <w:szCs w:val="24"/>
      <w:lang w:val="en-us" w:eastAsia="en-us" w:bidi="ar-sa"/>
    </w:rPr>
  </w:style>
  <w:style w:type="paragraph" w:styleId="para8" w:customStyle="1">
    <w:name w:val="Abstract Title"/>
    <w:qFormat/>
    <w:basedOn w:val="para0"/>
    <w:next w:val="para9"/>
    <w:pPr>
      <w:spacing w:before="300" w:after="0"/>
      <w:jc w:val="center"/>
      <w:keepNext/>
      <w:keepLines/>
    </w:pPr>
    <w:rPr>
      <w:b/>
      <w:sz w:val="20"/>
      <w:szCs w:val="20"/>
    </w:rPr>
  </w:style>
  <w:style w:type="paragraph" w:styleId="para9" w:customStyle="1">
    <w:name w:val="Abstract"/>
    <w:qFormat/>
    <w:basedOn w:val="para0"/>
    <w:next w:val="para1"/>
    <w:pPr>
      <w:spacing w:before="100" w:after="300"/>
      <w:keepNext/>
      <w:keepLines/>
    </w:pPr>
    <w:rPr>
      <w:sz w:val="20"/>
      <w:szCs w:val="20"/>
    </w:rPr>
  </w:style>
  <w:style w:type="paragraph" w:styleId="para10">
    <w:name w:val="Bibliography"/>
    <w:qFormat/>
    <w:basedOn w:val="para0"/>
  </w:style>
  <w:style w:type="paragraph" w:styleId="para11">
    <w:name w:val="heading 1"/>
    <w:qFormat/>
    <w:basedOn w:val="para0"/>
    <w:next w:val="para1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12">
    <w:name w:val="heading 2"/>
    <w:qFormat/>
    <w:basedOn w:val="para0"/>
    <w:next w:val="para1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13">
    <w:name w:val="heading 3"/>
    <w:qFormat/>
    <w:basedOn w:val="para0"/>
    <w:next w:val="para1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14">
    <w:name w:val="heading 4"/>
    <w:qFormat/>
    <w:basedOn w:val="para0"/>
    <w:next w:val="para1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15">
    <w:name w:val="heading 5"/>
    <w:qFormat/>
    <w:basedOn w:val="para0"/>
    <w:next w:val="para1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16">
    <w:name w:val="heading 6"/>
    <w:qFormat/>
    <w:basedOn w:val="para0"/>
    <w:next w:val="para1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17">
    <w:name w:val="heading 7"/>
    <w:qFormat/>
    <w:basedOn w:val="para0"/>
    <w:next w:val="para1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18">
    <w:name w:val="heading 8"/>
    <w:qFormat/>
    <w:basedOn w:val="para0"/>
    <w:next w:val="para1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19">
    <w:name w:val="heading 9"/>
    <w:qFormat/>
    <w:basedOn w:val="para0"/>
    <w:next w:val="para1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20">
    <w:name w:val="Block Text"/>
    <w:qFormat/>
    <w:basedOn w:val="para1"/>
    <w:next w:val="para1"/>
    <w:pPr>
      <w:ind w:left="480" w:right="480"/>
      <w:spacing w:before="100" w:after="100"/>
    </w:pPr>
  </w:style>
  <w:style w:type="paragraph" w:styleId="para21">
    <w:name w:val="Footnote Text"/>
    <w:qFormat/>
    <w:basedOn w:val="para0"/>
  </w:style>
  <w:style w:type="paragraph" w:styleId="para22" w:customStyle="1">
    <w:name w:val="Footnote Block Text"/>
    <w:qFormat/>
    <w:basedOn w:val="para21"/>
    <w:next w:val="para21"/>
    <w:pPr>
      <w:ind w:left="480" w:right="480"/>
      <w:spacing w:before="100" w:after="100"/>
    </w:pPr>
  </w:style>
  <w:style w:type="paragraph" w:styleId="para23" w:customStyle="1">
    <w:name w:val="Definition Term"/>
    <w:qFormat/>
    <w:basedOn w:val="para0"/>
    <w:next w:val="para24"/>
    <w:pPr>
      <w:spacing w:after="0"/>
      <w:keepNext/>
      <w:keepLines/>
    </w:pPr>
    <w:rPr>
      <w:b/>
    </w:rPr>
  </w:style>
  <w:style w:type="paragraph" w:styleId="para24" w:customStyle="1">
    <w:name w:val="Definition"/>
    <w:qFormat/>
    <w:basedOn w:val="para0"/>
  </w:style>
  <w:style w:type="paragraph" w:styleId="para25">
    <w:name w:val="caption"/>
    <w:qFormat/>
    <w:basedOn w:val="para0"/>
    <w:pPr>
      <w:spacing w:after="120"/>
    </w:pPr>
    <w:rPr>
      <w:i/>
    </w:rPr>
  </w:style>
  <w:style w:type="paragraph" w:styleId="para26" w:customStyle="1">
    <w:name w:val="Table Caption"/>
    <w:qFormat/>
    <w:basedOn w:val="para25"/>
    <w:pPr>
      <w:keepNext/>
    </w:pPr>
  </w:style>
  <w:style w:type="paragraph" w:styleId="para27" w:customStyle="1">
    <w:name w:val="Image Caption"/>
    <w:qFormat/>
    <w:basedOn w:val="para25"/>
  </w:style>
  <w:style w:type="paragraph" w:styleId="para28" w:customStyle="1">
    <w:name w:val="Figure"/>
    <w:qFormat/>
    <w:basedOn w:val="para0"/>
  </w:style>
  <w:style w:type="paragraph" w:styleId="para29" w:customStyle="1">
    <w:name w:val="Captioned Figure"/>
    <w:qFormat/>
    <w:basedOn w:val="para28"/>
    <w:pPr>
      <w:keepNext/>
    </w:pPr>
  </w:style>
  <w:style w:type="paragraph" w:styleId="para30">
    <w:name w:val="TOC Heading"/>
    <w:qFormat/>
    <w:basedOn w:val="para11"/>
    <w:next w:val="para1"/>
    <w:pPr>
      <w:spacing w:before="240" w:line="259" w:lineRule="auto"/>
      <w:outlineLvl w:val="9"/>
    </w:pPr>
    <w:rPr>
      <w:color w:val="365f91"/>
    </w:rPr>
  </w:style>
  <w:style w:type="paragraph" w:styleId="para31" w:customStyle="1">
    <w:name w:val="Source Code"/>
    <w:qFormat/>
    <w:basedOn w:val="para0"/>
  </w:style>
  <w:style w:type="character" w:styleId="char0" w:default="1">
    <w:name w:val="Default Paragraph Font"/>
  </w:style>
  <w:style w:type="character" w:styleId="char1" w:customStyle="1">
    <w:name w:val="Title Char"/>
    <w:basedOn w:val="char0"/>
    <w:rPr>
      <w:rFonts w:ascii="Aptos Display" w:hAnsi="Aptos Display" w:eastAsia="Aptos Display" w:cs="Aptos Display"/>
      <w:spacing w:val="-20" w:percent="92"/>
      <w:kern w:val="1"/>
      <w:sz w:val="56"/>
      <w:szCs w:val="56"/>
    </w:rPr>
  </w:style>
  <w:style w:type="character" w:styleId="char2" w:customStyle="1">
    <w:name w:val="Subtitle Char"/>
    <w:basedOn w:val="char0"/>
    <w:rPr>
      <w:rFonts w:eastAsia="Aptos Display" w:cs="Aptos Display"/>
      <w:color w:val="595959"/>
      <w:spacing w:val="33" w:percent="127"/>
      <w:sz w:val="28"/>
      <w:szCs w:val="28"/>
    </w:rPr>
  </w:style>
  <w:style w:type="character" w:styleId="char3" w:customStyle="1">
    <w:name w:val="Heading 1 Char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4" w:customStyle="1">
    <w:name w:val="Heading 2 Char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5" w:customStyle="1">
    <w:name w:val="Heading 3 Char"/>
    <w:basedOn w:val="char0"/>
    <w:rPr>
      <w:rFonts w:eastAsia="Aptos Display" w:cs="Aptos Display"/>
      <w:color w:val="0f4761"/>
      <w:sz w:val="28"/>
      <w:szCs w:val="28"/>
    </w:rPr>
  </w:style>
  <w:style w:type="character" w:styleId="char6" w:customStyle="1">
    <w:name w:val="Heading 4 Char"/>
    <w:basedOn w:val="char0"/>
    <w:rPr>
      <w:rFonts w:eastAsia="Aptos Display" w:cs="Aptos Display"/>
      <w:i/>
      <w:iCs/>
      <w:color w:val="0f4761"/>
    </w:rPr>
  </w:style>
  <w:style w:type="character" w:styleId="char7" w:customStyle="1">
    <w:name w:val="Heading 5 Char"/>
    <w:basedOn w:val="char0"/>
    <w:rPr>
      <w:rFonts w:eastAsia="Aptos Display" w:cs="Aptos Display"/>
      <w:color w:val="0f4761"/>
    </w:rPr>
  </w:style>
  <w:style w:type="character" w:styleId="char8" w:customStyle="1">
    <w:name w:val="Heading 6 Char"/>
    <w:basedOn w:val="char0"/>
    <w:rPr>
      <w:rFonts w:eastAsia="Aptos Display" w:cs="Aptos Display"/>
      <w:i/>
      <w:iCs/>
      <w:color w:val="595959"/>
    </w:rPr>
  </w:style>
  <w:style w:type="character" w:styleId="char9" w:customStyle="1">
    <w:name w:val="Heading 7 Char"/>
    <w:basedOn w:val="char0"/>
    <w:rPr>
      <w:rFonts w:eastAsia="Aptos Display" w:cs="Aptos Display"/>
      <w:color w:val="595959"/>
    </w:rPr>
  </w:style>
  <w:style w:type="character" w:styleId="char10" w:customStyle="1">
    <w:name w:val="Heading 8 Char"/>
    <w:basedOn w:val="char0"/>
    <w:rPr>
      <w:rFonts w:eastAsia="Aptos Display" w:cs="Aptos Display"/>
      <w:i/>
      <w:iCs/>
      <w:color w:val="272727"/>
    </w:rPr>
  </w:style>
  <w:style w:type="character" w:styleId="char11" w:customStyle="1">
    <w:name w:val="Heading 9 Char"/>
    <w:basedOn w:val="char0"/>
    <w:rPr>
      <w:rFonts w:eastAsia="Aptos Display" w:cs="Aptos Display"/>
      <w:color w:val="272727"/>
    </w:rPr>
  </w:style>
  <w:style w:type="character" w:styleId="char12" w:customStyle="1">
    <w:name w:val="Body Text Char"/>
    <w:basedOn w:val="char0"/>
  </w:style>
  <w:style w:type="character" w:styleId="char13" w:customStyle="1">
    <w:name w:val="Verbatim Char"/>
    <w:basedOn w:val="char12"/>
    <w:rPr>
      <w:rFonts w:ascii="Consolas" w:hAnsi="Consolas"/>
      <w:sz w:val="22"/>
    </w:rPr>
  </w:style>
  <w:style w:type="character" w:styleId="char14" w:customStyle="1">
    <w:name w:val="Section Number"/>
    <w:basedOn w:val="char12"/>
  </w:style>
  <w:style w:type="character" w:styleId="char15">
    <w:name w:val="Footnote Reference"/>
    <w:basedOn w:val="char12"/>
    <w:rPr>
      <w:vertAlign w:val="superscript"/>
    </w:rPr>
  </w:style>
  <w:style w:type="character" w:styleId="char16">
    <w:name w:val="Hyperlink"/>
    <w:basedOn w:val="char12"/>
    <w:rPr>
      <w:color w:val="4f81bd"/>
    </w:rPr>
  </w:style>
  <w:style w:type="character" w:styleId="char17" w:customStyle="1">
    <w:name w:val="KeywordTok"/>
    <w:basedOn w:val="char13"/>
    <w:rPr>
      <w:b/>
      <w:color w:val="007020"/>
    </w:rPr>
  </w:style>
  <w:style w:type="character" w:styleId="char18" w:customStyle="1">
    <w:name w:val="DataTypeTok"/>
    <w:basedOn w:val="char13"/>
    <w:rPr>
      <w:color w:val="902000"/>
    </w:rPr>
  </w:style>
  <w:style w:type="character" w:styleId="char19" w:customStyle="1">
    <w:name w:val="DecValTok"/>
    <w:basedOn w:val="char13"/>
    <w:rPr>
      <w:color w:val="40a070"/>
    </w:rPr>
  </w:style>
  <w:style w:type="character" w:styleId="char20" w:customStyle="1">
    <w:name w:val="BaseNTok"/>
    <w:basedOn w:val="char13"/>
    <w:rPr>
      <w:color w:val="40a070"/>
    </w:rPr>
  </w:style>
  <w:style w:type="character" w:styleId="char21" w:customStyle="1">
    <w:name w:val="FloatTok"/>
    <w:basedOn w:val="char13"/>
    <w:rPr>
      <w:color w:val="40a070"/>
    </w:rPr>
  </w:style>
  <w:style w:type="character" w:styleId="char22" w:customStyle="1">
    <w:name w:val="ConstantTok"/>
    <w:basedOn w:val="char13"/>
    <w:rPr>
      <w:color w:val="880000"/>
    </w:rPr>
  </w:style>
  <w:style w:type="character" w:styleId="char23" w:customStyle="1">
    <w:name w:val="CharTok"/>
    <w:basedOn w:val="char13"/>
    <w:rPr>
      <w:color w:val="4070a0"/>
    </w:rPr>
  </w:style>
  <w:style w:type="character" w:styleId="char24" w:customStyle="1">
    <w:name w:val="SpecialCharTok"/>
    <w:basedOn w:val="char13"/>
    <w:rPr>
      <w:color w:val="4070a0"/>
    </w:rPr>
  </w:style>
  <w:style w:type="character" w:styleId="char25" w:customStyle="1">
    <w:name w:val="StringTok"/>
    <w:basedOn w:val="char13"/>
    <w:rPr>
      <w:color w:val="4070a0"/>
    </w:rPr>
  </w:style>
  <w:style w:type="character" w:styleId="char26" w:customStyle="1">
    <w:name w:val="VerbatimStringTok"/>
    <w:basedOn w:val="char13"/>
    <w:rPr>
      <w:color w:val="4070a0"/>
    </w:rPr>
  </w:style>
  <w:style w:type="character" w:styleId="char27" w:customStyle="1">
    <w:name w:val="SpecialStringTok"/>
    <w:basedOn w:val="char13"/>
    <w:rPr>
      <w:color w:val="bb6688"/>
    </w:rPr>
  </w:style>
  <w:style w:type="character" w:styleId="char28" w:customStyle="1">
    <w:name w:val="ImportTok"/>
    <w:basedOn w:val="char13"/>
    <w:rPr>
      <w:b/>
      <w:color w:val="008000"/>
    </w:rPr>
  </w:style>
  <w:style w:type="character" w:styleId="char29" w:customStyle="1">
    <w:name w:val="CommentTok"/>
    <w:basedOn w:val="char13"/>
    <w:rPr>
      <w:i/>
      <w:color w:val="60a0b0"/>
    </w:rPr>
  </w:style>
  <w:style w:type="character" w:styleId="char30" w:customStyle="1">
    <w:name w:val="DocumentationTok"/>
    <w:basedOn w:val="char13"/>
    <w:rPr>
      <w:i/>
      <w:color w:val="ba2121"/>
    </w:rPr>
  </w:style>
  <w:style w:type="character" w:styleId="char31" w:customStyle="1">
    <w:name w:val="AnnotationTok"/>
    <w:basedOn w:val="char13"/>
    <w:rPr>
      <w:b/>
      <w:i/>
      <w:color w:val="60a0b0"/>
    </w:rPr>
  </w:style>
  <w:style w:type="character" w:styleId="char32" w:customStyle="1">
    <w:name w:val="CommentVarTok"/>
    <w:basedOn w:val="char13"/>
    <w:rPr>
      <w:b/>
      <w:i/>
      <w:color w:val="60a0b0"/>
    </w:rPr>
  </w:style>
  <w:style w:type="character" w:styleId="char33" w:customStyle="1">
    <w:name w:val="OtherTok"/>
    <w:basedOn w:val="char13"/>
    <w:rPr>
      <w:color w:val="007020"/>
    </w:rPr>
  </w:style>
  <w:style w:type="character" w:styleId="char34" w:customStyle="1">
    <w:name w:val="FunctionTok"/>
    <w:basedOn w:val="char13"/>
    <w:rPr>
      <w:color w:val="06287e"/>
    </w:rPr>
  </w:style>
  <w:style w:type="character" w:styleId="char35" w:customStyle="1">
    <w:name w:val="VariableTok"/>
    <w:basedOn w:val="char13"/>
    <w:rPr>
      <w:color w:val="19177c"/>
    </w:rPr>
  </w:style>
  <w:style w:type="character" w:styleId="char36" w:customStyle="1">
    <w:name w:val="ControlFlowTok"/>
    <w:basedOn w:val="char13"/>
    <w:rPr>
      <w:b/>
      <w:color w:val="007020"/>
    </w:rPr>
  </w:style>
  <w:style w:type="character" w:styleId="char37" w:customStyle="1">
    <w:name w:val="OperatorTok"/>
    <w:basedOn w:val="char13"/>
    <w:rPr>
      <w:color w:val="666666"/>
    </w:rPr>
  </w:style>
  <w:style w:type="character" w:styleId="char38" w:customStyle="1">
    <w:name w:val="BuiltInTok"/>
    <w:basedOn w:val="char13"/>
    <w:rPr>
      <w:color w:val="008000"/>
    </w:rPr>
  </w:style>
  <w:style w:type="character" w:styleId="char39" w:customStyle="1">
    <w:name w:val="ExtensionTok"/>
    <w:basedOn w:val="char13"/>
  </w:style>
  <w:style w:type="character" w:styleId="char40" w:customStyle="1">
    <w:name w:val="PreprocessorTok"/>
    <w:basedOn w:val="char13"/>
    <w:rPr>
      <w:color w:val="bc7a00"/>
    </w:rPr>
  </w:style>
  <w:style w:type="character" w:styleId="char41" w:customStyle="1">
    <w:name w:val="AttributeTok"/>
    <w:basedOn w:val="char13"/>
    <w:rPr>
      <w:color w:val="7d9029"/>
    </w:rPr>
  </w:style>
  <w:style w:type="character" w:styleId="char42" w:customStyle="1">
    <w:name w:val="RegionMarkerTok"/>
    <w:basedOn w:val="char13"/>
  </w:style>
  <w:style w:type="character" w:styleId="char43" w:customStyle="1">
    <w:name w:val="InformationTok"/>
    <w:basedOn w:val="char13"/>
    <w:rPr>
      <w:b/>
      <w:i/>
      <w:color w:val="60a0b0"/>
    </w:rPr>
  </w:style>
  <w:style w:type="character" w:styleId="char44" w:customStyle="1">
    <w:name w:val="WarningTok"/>
    <w:basedOn w:val="char13"/>
    <w:rPr>
      <w:b/>
      <w:i/>
      <w:color w:val="60a0b0"/>
    </w:rPr>
  </w:style>
  <w:style w:type="character" w:styleId="char45" w:customStyle="1">
    <w:name w:val="AlertTok"/>
    <w:basedOn w:val="char13"/>
    <w:rPr>
      <w:b/>
      <w:color w:val="ff0000"/>
    </w:rPr>
  </w:style>
  <w:style w:type="character" w:styleId="char46" w:customStyle="1">
    <w:name w:val="ErrorTok"/>
    <w:basedOn w:val="char13"/>
    <w:rPr>
      <w:b/>
      <w:color w:val="ff0000"/>
    </w:rPr>
  </w:style>
  <w:style w:type="character" w:styleId="char47" w:customStyle="1">
    <w:name w:val="NormalTok"/>
    <w:basedOn w:val="char13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8" w:space="0" w:color="000000" tmln="20, 0, 0, 0, 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2025-07-10T23:15:31Z</dcterms:created>
  <dcterms:modified xsi:type="dcterms:W3CDTF">2025-07-10T23:19:31Z</dcterms:modified>
</cp:coreProperties>
</file>