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Style w:val="para1"/>
      </w:pPr>
      <w:r>
        <w:t>Análisis de Caso: Servicios de red en la nube - DataConnect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1. Documento de diseño de la VPC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Diagrama de red (referencial)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VPC CIDR:</w:t>
      </w:r>
      <w:r>
        <w:rPr>
          <w:rFonts w:cs="Arial"/>
          <w:bCs/>
          <w:szCs w:val="28"/>
        </w:rPr>
        <w:t xml:space="preserve"> 10.0.0.0/16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Subred Pública:</w:t>
      </w:r>
      <w:r>
        <w:rPr>
          <w:rFonts w:cs="Arial"/>
          <w:bCs/>
          <w:szCs w:val="28"/>
        </w:rPr>
        <w:t xml:space="preserve"> 10.0.1.0/24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Subred Privada:</w:t>
      </w:r>
      <w:r>
        <w:rPr>
          <w:rFonts w:cs="Arial"/>
          <w:bCs/>
          <w:szCs w:val="28"/>
        </w:rPr>
        <w:t xml:space="preserve"> 10.0.2.0/24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Internet Gateway:</w:t>
      </w:r>
      <w:r>
        <w:rPr>
          <w:rFonts w:cs="Arial"/>
          <w:bCs/>
          <w:szCs w:val="28"/>
        </w:rPr>
        <w:t xml:space="preserve"> Asociado a la VPC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Route Tables:</w:t>
      </w: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Pública: Ruta a IGW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Privada: Ruta al NAT Gateway (opcional)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Instancias EC2:</w:t>
      </w: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Una en subred pública (t2.micro)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Una en subred privada (t2.micro)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Explicación de direcciones IP y segmentación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Se eligió 10.0.0.0/16 para permitir una amplia segmentación futura.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Subredes separadas para aislar instancias con acceso directo a Internet (pública) de aquellas que requieren mayor seguridad (privada).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2. Informe de configuración y seguridad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Security Groups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SG-Pública:</w:t>
      </w: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Permitir HTTP (puerto 80) y HTTPS (puerto 443) desde 0.0.0.0/0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Permitir SSH (puerto 22) solo desde IP local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/>
          <w:bCs/>
          <w:szCs w:val="28"/>
        </w:rPr>
        <w:t>SG-Privada:</w:t>
      </w:r>
      <w:r>
        <w:rPr>
          <w:rFonts w:cs="Arial"/>
          <w:bCs/>
          <w:szCs w:val="28"/>
        </w:rPr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Permitir tráfico entrante desde SG-Pública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Bloquear acceso directo desde Internet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NACLs (opcional)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Entrada: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Permitir tráfico HTTP/HTTPS/SSH en subred pública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Salida: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Permitir todo el tráfico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Justificación de reglas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SSH limitado para evitar accesos no autorizados.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HTTP/HTTPS abiertos para disponibilidad del servicio web.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Subred privada protegida de accesos externos.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3. Pruebas de conectividad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Instancia pública:</w:t>
      </w:r>
      <w:r>
        <w:rPr>
          <w:rFonts w:cs="Arial"/>
          <w:bCs/>
          <w:szCs w:val="32"/>
        </w:rPr>
        <w:t xml:space="preserve"> Acceso SSH exitoso desde IP autorizada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Instancia privada:</w:t>
      </w:r>
      <w:r>
        <w:rPr>
          <w:rFonts w:cs="Arial"/>
          <w:bCs/>
          <w:szCs w:val="32"/>
        </w:rPr>
      </w:r>
    </w:p>
    <w:p>
      <w:pPr>
        <w:numPr>
          <w:ilvl w:val="0"/>
          <w:numId w:val="3"/>
        </w:numPr>
        <w:ind w:left="2691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Sin acceso directo desde Internet</w:t>
      </w:r>
    </w:p>
    <w:p>
      <w:pPr>
        <w:numPr>
          <w:ilvl w:val="0"/>
          <w:numId w:val="3"/>
        </w:numPr>
        <w:ind w:left="2691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Puede conectarse a Internet si se configura NAT Gateway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/>
          <w:bCs/>
          <w:szCs w:val="32"/>
        </w:rPr>
        <w:t>Comunicación interna:</w:t>
      </w:r>
      <w:r>
        <w:rPr>
          <w:rFonts w:cs="Arial"/>
          <w:bCs/>
          <w:szCs w:val="32"/>
        </w:rPr>
        <w:t xml:space="preserve"> Ping exitoso entre instancias usando IP privadas</w:t>
      </w:r>
    </w:p>
    <w:p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br w:type="page"/>
      </w:r>
      <w:r>
        <w:t>4. Escenarios de escalabilidad y conexión híbrida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VPN Site-to-Site (conceptual)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Recursos necesarios: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Virtual Private Gateway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Customer Gateway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Configuración de tunel IPSec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Escalabilidad futura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Nuevas subredes por zona de disponibilidad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Balanceador de carga para servicios web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28"/>
        </w:rPr>
      </w:pPr>
      <w:r>
        <w:rPr>
          <w:rFonts w:cs="Arial"/>
          <w:bCs/>
          <w:szCs w:val="28"/>
        </w:rPr>
        <w:t>Auto Scaling Group para instancias</w:t>
      </w:r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5. Conclusiones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La configuración de la VPC permite segmentación, seguridad y preparación para escenarios más complejos.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Usar la capa gratuita de AWS permite realizar pruebas sin incurrir en costos.</w:t>
      </w:r>
    </w:p>
    <w:p>
      <w:pPr>
        <w:numPr>
          <w:ilvl w:val="0"/>
          <w:numId w:val="1"/>
        </w:numPr>
        <w:ind w:left="991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Recomendaciones: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Automatizar la infraestructura con CloudFormation o Terraform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Implementar monitoreo continuo con CloudWatch</w:t>
      </w:r>
    </w:p>
    <w:p>
      <w:pPr>
        <w:numPr>
          <w:ilvl w:val="0"/>
          <w:numId w:val="3"/>
        </w:numPr>
        <w:ind w:left="1983" w:hanging="567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  <w:t>Planificar desde ya una arquitectura de alta disponibilidad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cs="Arial"/>
          <w:bCs/>
          <w:szCs w:val="32"/>
        </w:rPr>
      </w:pPr>
      <w:r>
        <w:rPr>
          <w:rFonts w:cs="Arial"/>
          <w:bCs/>
          <w:szCs w:val="32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6839" w:w="11907"/>
      <w:pgMar w:left="1134" w:top="1134" w:right="1134" w:bottom="1134" w:header="0" w:footer="0"/>
      <w:paperSrc w:first="0" w:other="0" a="0" b="0"/>
      <w:pgNumType w:fmt="decimal"/>
      <w:tmGutter w:val="1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2">
    <w:multiLevelType w:val="singleLevel"/>
    <w:name w:val="Bullet 2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abstractNum w:abstractNumId="3">
    <w:multiLevelType w:val="singleLevel"/>
    <w:name w:val="Bullet 3"/>
    <w:lvl w:ilvl="0">
      <w:numFmt w:val="bullet"/>
      <w:suff w:val="tab"/>
      <w:lvlText w:val=""/>
      <w:lvlJc w:val="left"/>
      <w:pPr>
        <w:ind w:left="0" w:hanging="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08"/>
  <w:autoHyphenation w:val="1"/>
  <w:doNotShadeFormData w:val="1"/>
  <w:captions>
    <w:caption w:name="Tabla" w:pos="below" w:numFmt="decimal"/>
    <w:caption w:name="Figura" w:pos="below" w:numFmt="decimal"/>
    <w:caption w:name="Imagen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38"/>
      <w:tmLastPosIdx w:val="70"/>
    </w:tmLastPosCaret>
    <w:tmLastPosAnchor>
      <w:tmLastPosPgfIdx w:val="0"/>
      <w:tmLastPosIdx w:val="0"/>
    </w:tmLastPosAnchor>
    <w:tmLastPosTblRect w:left="0" w:top="0" w:right="0" w:bottom="0"/>
  </w:tmLastPos>
  <w:tmAppRevision w:date="1753230742" w:val="1224" w:fileVer="342" w:fileVerOS="4"/>
  <w:guidesAndGrid showGuides="1" lockGuides="0" snapToGuides="1" snapToPageMargins="0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s-mx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paragraph" w:styleId="para4">
    <w:name w:val="heading 4"/>
    <w:qFormat/>
    <w:basedOn w:val="para3"/>
    <w:next w:val="para0"/>
    <w:pPr>
      <w:outlineLvl w:val="3"/>
    </w:pPr>
    <w:rPr>
      <w:sz w:val="26"/>
      <w:szCs w:val="26"/>
    </w:rPr>
    <w:key w:val="1076"/>
  </w:style>
  <w:style w:type="character" w:styleId="char0" w:default="1">
    <w:name w:val="Default Paragraph Font"/>
  </w:style>
  <w:style w:type="table" w:default="1" w:styleId="TableNormal">
    <w:name w:val="Tabla normal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rev.1224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2025-07-19T13:17:53Z</dcterms:created>
  <dcterms:modified xsi:type="dcterms:W3CDTF">2025-07-23T00:32:22Z</dcterms:modified>
</cp:coreProperties>
</file>